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03E" w:rsidRDefault="00DF2F5D">
      <w:pPr>
        <w:spacing w:line="600" w:lineRule="exact"/>
        <w:jc w:val="center"/>
        <w:rPr>
          <w:rFonts w:ascii="方正小标宋简体" w:eastAsia="方正小标宋简体" w:hAnsi="黑体" w:cs="黑体"/>
          <w:bCs/>
          <w:color w:val="000000"/>
          <w:sz w:val="44"/>
          <w:szCs w:val="44"/>
        </w:rPr>
      </w:pPr>
      <w:r>
        <w:rPr>
          <w:rFonts w:ascii="方正小标宋简体" w:eastAsia="方正小标宋简体" w:hAnsi="黑体" w:cs="黑体" w:hint="eastAsia"/>
          <w:bCs/>
          <w:color w:val="000000"/>
          <w:sz w:val="44"/>
          <w:szCs w:val="44"/>
        </w:rPr>
        <w:t>团体标准《食用木薯块根质量综合评价技术规程》（征求意见稿）编制说明</w:t>
      </w:r>
    </w:p>
    <w:p w:rsidR="00B1503E" w:rsidRDefault="00B1503E">
      <w:pPr>
        <w:spacing w:line="600" w:lineRule="exact"/>
        <w:jc w:val="center"/>
        <w:rPr>
          <w:rFonts w:ascii="方正小标宋简体" w:eastAsia="方正小标宋简体" w:hAnsi="黑体" w:cs="黑体"/>
          <w:bCs/>
          <w:color w:val="000000"/>
          <w:sz w:val="44"/>
          <w:szCs w:val="44"/>
        </w:rPr>
      </w:pPr>
    </w:p>
    <w:p w:rsidR="00B1503E" w:rsidRPr="00F20BCD" w:rsidRDefault="00F20BCD" w:rsidP="00F20BC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w:t>
      </w:r>
      <w:r>
        <w:rPr>
          <w:rFonts w:ascii="黑体" w:eastAsia="黑体" w:hAnsi="黑体" w:cs="仿宋_GB2312"/>
          <w:sz w:val="32"/>
          <w:szCs w:val="32"/>
        </w:rPr>
        <w:t>、</w:t>
      </w:r>
      <w:r w:rsidR="00DF2F5D" w:rsidRPr="00F20BCD">
        <w:rPr>
          <w:rFonts w:ascii="黑体" w:eastAsia="黑体" w:hAnsi="黑体" w:cs="仿宋_GB2312" w:hint="eastAsia"/>
          <w:sz w:val="32"/>
          <w:szCs w:val="32"/>
        </w:rPr>
        <w:t>项目来源</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根据《关于下达2021年第二十八批团体标准制修订项目计划的通知》（桂标协﹝2021﹞</w:t>
      </w:r>
      <w:r>
        <w:rPr>
          <w:rFonts w:ascii="仿宋_GB2312" w:eastAsia="仿宋_GB2312" w:hAnsi="宋体"/>
          <w:sz w:val="32"/>
          <w:szCs w:val="32"/>
        </w:rPr>
        <w:t>76</w:t>
      </w:r>
      <w:r>
        <w:rPr>
          <w:rFonts w:ascii="仿宋_GB2312" w:eastAsia="仿宋_GB2312" w:hAnsi="宋体" w:hint="eastAsia"/>
          <w:sz w:val="32"/>
          <w:szCs w:val="32"/>
          <w:lang w:val="zh-CN"/>
        </w:rPr>
        <w:t>号）文件精神，由</w:t>
      </w:r>
      <w:r>
        <w:rPr>
          <w:rFonts w:ascii="仿宋_GB2312" w:eastAsia="仿宋_GB2312" w:hAnsi="宋体" w:hint="eastAsia"/>
          <w:sz w:val="32"/>
          <w:szCs w:val="32"/>
        </w:rPr>
        <w:t>广西壮族自治区农业科学院经济作物研究所</w:t>
      </w:r>
      <w:r>
        <w:rPr>
          <w:rFonts w:ascii="仿宋_GB2312" w:eastAsia="仿宋_GB2312" w:hAnsi="宋体" w:hint="eastAsia"/>
          <w:sz w:val="32"/>
          <w:szCs w:val="32"/>
          <w:lang w:val="zh-CN"/>
        </w:rPr>
        <w:t>提出，</w:t>
      </w:r>
      <w:r>
        <w:rPr>
          <w:rFonts w:ascii="仿宋_GB2312" w:eastAsia="仿宋_GB2312" w:hAnsi="宋体" w:hint="eastAsia"/>
          <w:sz w:val="32"/>
          <w:szCs w:val="32"/>
        </w:rPr>
        <w:t>广西壮族自治区农业科学院经济作物研究所、广西壮族自治区农业科学院农产品加工研究所</w:t>
      </w:r>
      <w:r>
        <w:rPr>
          <w:rFonts w:ascii="仿宋_GB2312" w:eastAsia="仿宋_GB2312" w:hAnsi="宋体" w:hint="eastAsia"/>
          <w:sz w:val="32"/>
          <w:szCs w:val="32"/>
          <w:lang w:val="zh-CN"/>
        </w:rPr>
        <w:t>共同起草的团体标准《</w:t>
      </w:r>
      <w:r>
        <w:rPr>
          <w:rFonts w:ascii="仿宋_GB2312" w:eastAsia="仿宋_GB2312" w:hAnsi="宋体" w:hint="eastAsia"/>
          <w:sz w:val="32"/>
          <w:szCs w:val="32"/>
        </w:rPr>
        <w:t>食用木薯块根质量综合评价技术规程</w:t>
      </w:r>
      <w:r>
        <w:rPr>
          <w:rFonts w:ascii="仿宋_GB2312" w:eastAsia="仿宋_GB2312" w:hAnsi="宋体" w:hint="eastAsia"/>
          <w:sz w:val="32"/>
          <w:szCs w:val="32"/>
          <w:lang w:val="zh-CN"/>
        </w:rPr>
        <w:t>》（项目编号：</w:t>
      </w:r>
      <w:r>
        <w:rPr>
          <w:rFonts w:ascii="仿宋_GB2312" w:eastAsia="仿宋_GB2312" w:hAnsi="宋体"/>
          <w:sz w:val="32"/>
          <w:szCs w:val="32"/>
          <w:lang w:val="zh-CN"/>
        </w:rPr>
        <w:t>2021-2803</w:t>
      </w:r>
      <w:r>
        <w:rPr>
          <w:rFonts w:ascii="仿宋_GB2312" w:eastAsia="仿宋_GB2312" w:hAnsi="宋体" w:hint="eastAsia"/>
          <w:sz w:val="32"/>
          <w:szCs w:val="32"/>
          <w:lang w:val="zh-CN"/>
        </w:rPr>
        <w:t>）。</w:t>
      </w:r>
    </w:p>
    <w:p w:rsidR="00B1503E" w:rsidRPr="00F20BCD" w:rsidRDefault="00F20BCD" w:rsidP="00F20BC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w:t>
      </w:r>
      <w:r>
        <w:rPr>
          <w:rFonts w:ascii="黑体" w:eastAsia="黑体" w:hAnsi="黑体" w:cs="仿宋_GB2312"/>
          <w:sz w:val="32"/>
          <w:szCs w:val="32"/>
        </w:rPr>
        <w:t>、</w:t>
      </w:r>
      <w:r w:rsidR="00DF2F5D" w:rsidRPr="00F20BCD">
        <w:rPr>
          <w:rFonts w:ascii="黑体" w:eastAsia="黑体" w:hAnsi="黑体" w:cs="仿宋_GB2312" w:hint="eastAsia"/>
          <w:sz w:val="32"/>
          <w:szCs w:val="32"/>
        </w:rPr>
        <w:t>项目背景及目的意义</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2019年《国务院关于促进乡村产业振兴的指导意见》和2021年中央一号文件中均提出要立足当地特色资源，发展乡村产业。加快形成一批以绿色优质特色农产品生产、加工、流通、销售产业链为基础，集科技创新、休闲观光、种养结合、循环利用的特色农业产业集群；壮大一批经济效益好、带动能力强、规范生产管理的新型农业经营主体和龙头企业；打造一批知名特色农业品牌，将绿色优质特色产业培育成贫困地区打赢脱贫攻坚战的重要民生产业、农业农村经济发展的重要支柱产业、农民持续增收的重要战略产业。在全面推动乡村振兴的新阶段，我区特色作物——木薯产业发展获得了不可多得的新机遇，成为优势特色鲜明、辐射面广和带动能力强的脱贫支柱产业。近年来国内相关科研单位和企业开展了木薯食用化开发研究，国家木薯产业技术体系将</w:t>
      </w:r>
      <w:r>
        <w:rPr>
          <w:rFonts w:ascii="仿宋_GB2312" w:eastAsia="仿宋_GB2312" w:hAnsi="宋体" w:hint="eastAsia"/>
          <w:sz w:val="32"/>
          <w:szCs w:val="32"/>
        </w:rPr>
        <w:lastRenderedPageBreak/>
        <w:t>木薯食用化研究开发利用列为“十三五”重点研发任务。我国华南地区有食用木薯的传统，20世纪50-60年代，由于木薯具有粗生、易植、高产和四季可收获食用等优良特性，一度成为困难时期解决热区农民温饱的主粮。随着人们对均衡营养和特色食物的高质量追求，以特色风味和绿色健康食品为特点的木薯，重新走进人们的饮食生活。</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食用木薯具有低氢苷、低糖、低脂、营养价值高等优点，其块根富含淀粉、膳食纤维、维生素及钙、锌、镁、钾等矿物质，长期食用可为人体补充多种微量元素，改善人们的日常膳食结构。此外，食用木薯的抗病虫害的能力强、耐贫瘠，在种植过程中可全程不需要使用农药，是天然健康的无公害薯类杂粮。木薯食品开发利用广泛，产品附加值高，市场前景广阔，可蒸煮烹炸制作各种食用木薯菜肴或加工成食用木薯全粉制作烘烤食品、膨化食品等。市场上催生了张飞木薯羹、小小李白、印小尼、壹家等网红木薯羹品牌。国内相关科研单位和企业纷纷开展了许多木薯食用化开发研究，国家木薯产业技术体系也将木薯食用化研究开发利用列为“十四五”重点研发任务。</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直以来，木薯被人们认为属于低值产业，处在一年不如一年的尴尬境地。提高木薯块根质量，提升其竞争力，是当前我区积极应对外部环境变化，重振广西木薯产业的希望所在，也是打造竞争新优势和实现富民兴桂的需要。木薯质量的保障与提升，需要标准化的质量综合评价技术对木薯的农艺性状指标、食用型专用生理指标、鲜薯品质性状指标、加工特性指标进行综合评价。世界上木薯总产量的65%用于人类食物。木薯是广西特色优势产</w:t>
      </w:r>
      <w:r>
        <w:rPr>
          <w:rFonts w:ascii="仿宋_GB2312" w:eastAsia="仿宋_GB2312" w:hAnsi="宋体" w:hint="eastAsia"/>
          <w:sz w:val="32"/>
          <w:szCs w:val="32"/>
        </w:rPr>
        <w:lastRenderedPageBreak/>
        <w:t>业之一，广西木薯种植面积、产量均占全国60%以上，近年种植面积在300万亩左右，高峰年份曾达到450万亩。在产业延伸方面，区内现有木薯淀粉加工厂和酒精加工厂60多家。</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通过制定团体标准《食用木薯块根质量综合评价技术规程》，以标准为抓手，统一规范食用木薯块根质量综合评价的评价指标、评价方法、评价规则，用标准化更好地指导食用木薯块根质量的评价</w:t>
      </w:r>
      <w:r>
        <w:rPr>
          <w:rFonts w:ascii="仿宋_GB2312" w:eastAsia="仿宋_GB2312" w:hAnsi="宋体" w:hint="eastAsia"/>
          <w:sz w:val="32"/>
          <w:szCs w:val="32"/>
          <w:lang w:val="zh-CN"/>
        </w:rPr>
        <w:t>，达到</w:t>
      </w:r>
      <w:r>
        <w:rPr>
          <w:rFonts w:ascii="仿宋_GB2312" w:eastAsia="仿宋_GB2312" w:hAnsi="宋体" w:hint="eastAsia"/>
          <w:sz w:val="32"/>
          <w:szCs w:val="32"/>
        </w:rPr>
        <w:t>保障木薯块根质量</w:t>
      </w:r>
      <w:r>
        <w:rPr>
          <w:rFonts w:ascii="仿宋_GB2312" w:eastAsia="仿宋_GB2312" w:hAnsi="宋体" w:hint="eastAsia"/>
          <w:sz w:val="32"/>
          <w:szCs w:val="32"/>
          <w:lang w:val="zh-CN"/>
        </w:rPr>
        <w:t>的目的，具有一定的先进性和实用性，完全符合广西特色农业发展的需求。</w:t>
      </w:r>
    </w:p>
    <w:p w:rsidR="00B1503E" w:rsidRPr="00F20BCD" w:rsidRDefault="00F20BCD" w:rsidP="00F20BC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三</w:t>
      </w:r>
      <w:r>
        <w:rPr>
          <w:rFonts w:ascii="黑体" w:eastAsia="黑体" w:hAnsi="黑体" w:cs="仿宋_GB2312"/>
          <w:sz w:val="32"/>
          <w:szCs w:val="32"/>
        </w:rPr>
        <w:t>、</w:t>
      </w:r>
      <w:r w:rsidR="00DF2F5D" w:rsidRPr="00F20BCD">
        <w:rPr>
          <w:rFonts w:ascii="黑体" w:eastAsia="黑体" w:hAnsi="黑体" w:cs="仿宋_GB2312" w:hint="eastAsia"/>
          <w:sz w:val="32"/>
          <w:szCs w:val="32"/>
        </w:rPr>
        <w:t>标准编制过程</w:t>
      </w:r>
    </w:p>
    <w:p w:rsidR="00B1503E" w:rsidRDefault="00DF2F5D">
      <w:pPr>
        <w:adjustRightInd w:val="0"/>
        <w:snapToGrid w:val="0"/>
        <w:spacing w:beforeLines="50" w:before="156" w:afterLines="50" w:after="156" w:line="560" w:lineRule="exact"/>
        <w:ind w:left="505"/>
        <w:rPr>
          <w:rFonts w:ascii="楷体" w:eastAsia="楷体" w:hAnsi="楷体" w:cs="黑体"/>
          <w:bCs/>
          <w:sz w:val="32"/>
          <w:szCs w:val="32"/>
        </w:rPr>
      </w:pPr>
      <w:r>
        <w:rPr>
          <w:rFonts w:ascii="楷体" w:eastAsia="楷体" w:hAnsi="楷体" w:cs="仿宋_GB2312" w:hint="eastAsia"/>
          <w:b/>
          <w:sz w:val="32"/>
          <w:szCs w:val="32"/>
        </w:rPr>
        <w:t>（一）成立标准编制工作组</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Pr>
          <w:rFonts w:ascii="仿宋_GB2312" w:eastAsia="仿宋_GB2312" w:hAnsi="宋体" w:hint="eastAsia"/>
          <w:sz w:val="32"/>
          <w:szCs w:val="32"/>
          <w:lang w:val="zh-CN"/>
        </w:rPr>
        <w:t>食用木薯块根质量综合评价技术规程</w:t>
      </w:r>
      <w:r>
        <w:rPr>
          <w:rFonts w:ascii="仿宋_GB2312" w:eastAsia="仿宋_GB2312" w:hAnsi="宋体" w:hint="eastAsia"/>
          <w:sz w:val="32"/>
          <w:szCs w:val="32"/>
        </w:rPr>
        <w:t>》项目任务下达后，由广西壮族自治区农业科学院经济作物研究所组织成立了标准编制工作组，制定了标准编写方案，明确任务职责，确定工作技术路线，开展标准研制工作，具体标准编制工作由广西壮族自治区农业科学院经济作物研究所、广西壮族自治区农业科学院农产品加工研究所相关人员配合。</w:t>
      </w:r>
    </w:p>
    <w:p w:rsidR="00B1503E" w:rsidRDefault="00DF2F5D">
      <w:pPr>
        <w:spacing w:beforeLines="50" w:before="156" w:afterLines="50" w:after="156"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标准编制工作组收集了国内食用木薯</w:t>
      </w:r>
      <w:r>
        <w:rPr>
          <w:rFonts w:ascii="仿宋_GB2312" w:eastAsia="仿宋_GB2312" w:hAnsi="宋体"/>
          <w:sz w:val="32"/>
          <w:szCs w:val="32"/>
        </w:rPr>
        <w:t>块根综合</w:t>
      </w:r>
      <w:r>
        <w:rPr>
          <w:rFonts w:ascii="仿宋_GB2312" w:eastAsia="仿宋_GB2312" w:hAnsi="宋体" w:hint="eastAsia"/>
          <w:sz w:val="32"/>
          <w:szCs w:val="32"/>
        </w:rPr>
        <w:t>评价的相关文献资料。主要有：</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NY/T 1520  木薯</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NY/T 2552  能源</w:t>
      </w:r>
      <w:r>
        <w:rPr>
          <w:rFonts w:ascii="仿宋_GB2312" w:eastAsia="仿宋_GB2312" w:hAnsi="宋体"/>
          <w:sz w:val="32"/>
          <w:szCs w:val="32"/>
        </w:rPr>
        <w:t>木薯等级规格</w:t>
      </w:r>
      <w:r>
        <w:rPr>
          <w:rFonts w:ascii="仿宋_GB2312" w:eastAsia="仿宋_GB2312" w:hAnsi="宋体" w:hint="eastAsia"/>
          <w:sz w:val="32"/>
          <w:szCs w:val="32"/>
        </w:rPr>
        <w:t xml:space="preserve">  鲜木薯</w:t>
      </w:r>
    </w:p>
    <w:p w:rsidR="00C747B0"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DB44/T 1324  木薯生产技术规程</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DBS45</w:t>
      </w:r>
      <w:r>
        <w:rPr>
          <w:rFonts w:ascii="仿宋_GB2312" w:eastAsia="仿宋_GB2312" w:hAnsi="宋体"/>
          <w:sz w:val="32"/>
          <w:szCs w:val="32"/>
        </w:rPr>
        <w:t>/</w:t>
      </w:r>
      <w:r>
        <w:rPr>
          <w:rFonts w:ascii="仿宋_GB2312" w:eastAsia="仿宋_GB2312" w:hAnsi="宋体" w:hint="eastAsia"/>
          <w:sz w:val="32"/>
          <w:szCs w:val="32"/>
        </w:rPr>
        <w:t xml:space="preserve"> </w:t>
      </w:r>
      <w:r>
        <w:rPr>
          <w:rFonts w:ascii="仿宋_GB2312" w:eastAsia="仿宋_GB2312" w:hAnsi="宋体"/>
          <w:sz w:val="32"/>
          <w:szCs w:val="32"/>
        </w:rPr>
        <w:t xml:space="preserve">041  </w:t>
      </w:r>
      <w:r>
        <w:rPr>
          <w:rFonts w:ascii="仿宋_GB2312" w:eastAsia="仿宋_GB2312" w:hAnsi="宋体" w:hint="eastAsia"/>
          <w:sz w:val="32"/>
          <w:szCs w:val="32"/>
        </w:rPr>
        <w:t>食品安全地方标准  木薯全粉</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1769  食用木薯可延期收获生产技术规程</w:t>
      </w:r>
    </w:p>
    <w:p w:rsidR="00B1503E" w:rsidRDefault="00DF2F5D">
      <w:pPr>
        <w:spacing w:beforeLines="50" w:before="156" w:afterLines="50" w:after="156"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1867</w:t>
      </w:r>
      <w:r>
        <w:rPr>
          <w:rFonts w:ascii="仿宋_GB2312" w:eastAsia="仿宋_GB2312" w:hAnsi="宋体"/>
          <w:sz w:val="32"/>
          <w:szCs w:val="32"/>
        </w:rPr>
        <w:t xml:space="preserve">  </w:t>
      </w:r>
      <w:r>
        <w:rPr>
          <w:rFonts w:ascii="仿宋_GB2312" w:eastAsia="仿宋_GB2312" w:hAnsi="宋体" w:hint="eastAsia"/>
          <w:sz w:val="32"/>
          <w:szCs w:val="32"/>
        </w:rPr>
        <w:t>食用木薯全粉加工技术规程</w:t>
      </w:r>
    </w:p>
    <w:p w:rsidR="00B1503E" w:rsidRDefault="00DF2F5D">
      <w:pPr>
        <w:spacing w:beforeLines="50" w:before="156" w:afterLines="50" w:after="156"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B1503E" w:rsidRDefault="00DF2F5D">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术语和定义、评价指标</w:t>
      </w:r>
      <w:r>
        <w:rPr>
          <w:rFonts w:ascii="仿宋_GB2312" w:eastAsia="仿宋_GB2312" w:hAnsi="宋体"/>
          <w:sz w:val="32"/>
          <w:szCs w:val="32"/>
        </w:rPr>
        <w:t>、评价方法</w:t>
      </w:r>
      <w:r>
        <w:rPr>
          <w:rFonts w:ascii="仿宋_GB2312" w:eastAsia="仿宋_GB2312" w:hAnsi="宋体" w:hint="eastAsia"/>
          <w:sz w:val="32"/>
          <w:szCs w:val="32"/>
        </w:rPr>
        <w:t>、</w:t>
      </w:r>
      <w:r>
        <w:rPr>
          <w:rFonts w:ascii="仿宋_GB2312" w:eastAsia="仿宋_GB2312" w:hAnsi="宋体"/>
          <w:sz w:val="32"/>
          <w:szCs w:val="32"/>
        </w:rPr>
        <w:t>评价规则</w:t>
      </w:r>
      <w:r>
        <w:rPr>
          <w:rFonts w:ascii="仿宋_GB2312" w:eastAsia="仿宋_GB2312" w:hAnsi="宋体" w:hint="eastAsia"/>
          <w:sz w:val="32"/>
          <w:szCs w:val="32"/>
        </w:rPr>
        <w:t>。</w:t>
      </w:r>
    </w:p>
    <w:p w:rsidR="00B1503E" w:rsidRDefault="00DF2F5D">
      <w:pPr>
        <w:spacing w:beforeLines="50" w:before="156" w:afterLines="50" w:after="156"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（四）调研、形成文本草案、征求意见稿</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8月，标准起草工作小组进行了广泛实地调研工作，查阅了大量的国内外文献资料，对食用木薯块根质量综合评价技术进行系统总结。经编制组反复讨论，形成了标准的基本构架，对主要内容进行了讨论并对项目的工作进行了部署和安排。</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9月～10月，在前期工作的基础之上，通过理清逻辑脉络，整合已有的参考资料中有关食用木薯块根质量综合评价的资料，并结合区内食用木薯块根质量综合评价实际要求的基础上，按照简化、统一等原则编制完成团体标准《食用木薯块根质量综合评价技术规程》（草案）。</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2021年10月～2021年11月，深入食用木薯</w:t>
      </w:r>
      <w:r>
        <w:rPr>
          <w:rFonts w:ascii="仿宋_GB2312" w:eastAsia="仿宋_GB2312" w:hAnsi="宋体" w:hint="eastAsia"/>
          <w:sz w:val="32"/>
          <w:szCs w:val="32"/>
          <w:lang w:val="zh-CN"/>
        </w:rPr>
        <w:t>产区及加工工厂，针对食用木薯的农艺性状指标、</w:t>
      </w:r>
      <w:r>
        <w:rPr>
          <w:rFonts w:ascii="仿宋_GB2312" w:eastAsia="仿宋_GB2312" w:hAnsi="宋体" w:hint="eastAsia"/>
          <w:sz w:val="32"/>
          <w:szCs w:val="32"/>
        </w:rPr>
        <w:t>食用型专用生理指标、鲜薯品质性状指标、加工特性指标进行分组实地调研。标准编制工作组多次召开会议，对标准草案进行了反复修改和研究讨论，最终形成了团体标准《食用木薯块根质量综合评价技术规程》（征求</w:t>
      </w:r>
      <w:r>
        <w:rPr>
          <w:rFonts w:ascii="仿宋_GB2312" w:eastAsia="仿宋_GB2312" w:hAnsi="宋体" w:hint="eastAsia"/>
          <w:sz w:val="32"/>
          <w:szCs w:val="32"/>
        </w:rPr>
        <w:lastRenderedPageBreak/>
        <w:t>意见稿）和（征求意见稿）编制说明。</w:t>
      </w:r>
    </w:p>
    <w:p w:rsidR="00B1503E" w:rsidRDefault="00DF2F5D" w:rsidP="00F20BC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B1503E" w:rsidRDefault="00DF2F5D">
      <w:pPr>
        <w:spacing w:beforeLines="50" w:before="156" w:afterLines="50" w:after="156" w:line="560" w:lineRule="exact"/>
        <w:ind w:firstLineChars="200" w:firstLine="643"/>
        <w:rPr>
          <w:rFonts w:ascii="楷体" w:eastAsia="楷体" w:hAnsi="楷体"/>
          <w:b/>
          <w:sz w:val="32"/>
          <w:szCs w:val="32"/>
        </w:rPr>
      </w:pPr>
      <w:r>
        <w:rPr>
          <w:rFonts w:ascii="楷体" w:eastAsia="楷体" w:hAnsi="楷体" w:hint="eastAsia"/>
          <w:b/>
          <w:sz w:val="32"/>
          <w:szCs w:val="32"/>
        </w:rPr>
        <w:t>（一）实用性原则</w:t>
      </w:r>
    </w:p>
    <w:p w:rsidR="00B1503E" w:rsidRDefault="00DF2F5D">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本文件是在充分收集相关资料和文献，分析区内</w:t>
      </w:r>
      <w:r>
        <w:rPr>
          <w:rFonts w:ascii="仿宋_GB2312" w:eastAsia="仿宋_GB2312" w:hAnsi="宋体" w:hint="eastAsia"/>
          <w:sz w:val="32"/>
          <w:szCs w:val="32"/>
        </w:rPr>
        <w:t>食用木薯块根质量综合评价</w:t>
      </w:r>
      <w:r>
        <w:rPr>
          <w:rFonts w:ascii="仿宋_GB2312" w:eastAsia="仿宋_GB2312" w:hAnsi="宋体" w:hint="eastAsia"/>
          <w:sz w:val="32"/>
          <w:szCs w:val="32"/>
          <w:lang w:val="zh-CN"/>
        </w:rPr>
        <w:t>现状，在现有国家、行业标准相关</w:t>
      </w:r>
      <w:r>
        <w:rPr>
          <w:rFonts w:ascii="仿宋_GB2312" w:eastAsia="仿宋_GB2312" w:hAnsi="宋体" w:hint="eastAsia"/>
          <w:sz w:val="32"/>
          <w:szCs w:val="32"/>
        </w:rPr>
        <w:t>食用木薯块根质量综合评价</w:t>
      </w:r>
      <w:r>
        <w:rPr>
          <w:rFonts w:ascii="仿宋_GB2312" w:eastAsia="仿宋_GB2312" w:hAnsi="宋体" w:hint="eastAsia"/>
          <w:sz w:val="32"/>
          <w:szCs w:val="32"/>
          <w:lang w:val="zh-CN"/>
        </w:rPr>
        <w:t>技术的基础上，结合多年经验而总结起草的。符合当前</w:t>
      </w:r>
      <w:r>
        <w:rPr>
          <w:rFonts w:ascii="仿宋_GB2312" w:eastAsia="仿宋_GB2312" w:hAnsi="宋体" w:hint="eastAsia"/>
          <w:sz w:val="32"/>
          <w:szCs w:val="32"/>
        </w:rPr>
        <w:t>食用木薯块根质量综合评价</w:t>
      </w:r>
      <w:r>
        <w:rPr>
          <w:rFonts w:ascii="仿宋_GB2312" w:eastAsia="仿宋_GB2312" w:hAnsi="宋体" w:hint="eastAsia"/>
          <w:sz w:val="32"/>
          <w:szCs w:val="32"/>
          <w:lang w:val="zh-CN"/>
        </w:rPr>
        <w:t>技术的要求，有利于行业的长远发展，具有较强的实用性和可操作性。</w:t>
      </w:r>
    </w:p>
    <w:p w:rsidR="00B1503E" w:rsidRDefault="00DF2F5D">
      <w:pPr>
        <w:spacing w:beforeLines="50" w:before="156" w:afterLines="50" w:after="156" w:line="560" w:lineRule="exact"/>
        <w:ind w:firstLineChars="200" w:firstLine="643"/>
        <w:rPr>
          <w:rFonts w:ascii="楷体" w:eastAsia="楷体" w:hAnsi="楷体"/>
          <w:b/>
          <w:sz w:val="32"/>
          <w:szCs w:val="32"/>
        </w:rPr>
      </w:pPr>
      <w:r>
        <w:rPr>
          <w:rFonts w:ascii="楷体" w:eastAsia="楷体" w:hAnsi="楷体" w:hint="eastAsia"/>
          <w:b/>
          <w:sz w:val="32"/>
          <w:szCs w:val="32"/>
        </w:rPr>
        <w:t>（二）协调性原则</w:t>
      </w:r>
    </w:p>
    <w:p w:rsidR="00B1503E" w:rsidRDefault="00DF2F5D">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本文件编写过程中注意了</w:t>
      </w:r>
      <w:r>
        <w:rPr>
          <w:rFonts w:ascii="仿宋_GB2312" w:eastAsia="仿宋_GB2312" w:hAnsi="宋体" w:hint="eastAsia"/>
          <w:sz w:val="32"/>
          <w:szCs w:val="32"/>
        </w:rPr>
        <w:t>食用木薯块根质量综合评价</w:t>
      </w:r>
      <w:r>
        <w:rPr>
          <w:rFonts w:ascii="仿宋_GB2312" w:eastAsia="仿宋_GB2312" w:hAnsi="宋体" w:hint="eastAsia"/>
          <w:sz w:val="32"/>
          <w:szCs w:val="32"/>
          <w:lang w:val="zh-CN"/>
        </w:rPr>
        <w:t>技术要求与相关法律法规的协调问题，在内容上与现行法律法规、标准协调一致。</w:t>
      </w:r>
    </w:p>
    <w:p w:rsidR="00B1503E" w:rsidRDefault="00DF2F5D">
      <w:pPr>
        <w:spacing w:beforeLines="50" w:before="156" w:afterLines="50" w:after="156" w:line="560" w:lineRule="exact"/>
        <w:ind w:firstLineChars="200" w:firstLine="643"/>
        <w:rPr>
          <w:rFonts w:ascii="楷体" w:eastAsia="楷体" w:hAnsi="楷体"/>
          <w:b/>
          <w:sz w:val="32"/>
          <w:szCs w:val="32"/>
        </w:rPr>
      </w:pPr>
      <w:r>
        <w:rPr>
          <w:rFonts w:ascii="楷体" w:eastAsia="楷体" w:hAnsi="楷体" w:hint="eastAsia"/>
          <w:b/>
          <w:sz w:val="32"/>
          <w:szCs w:val="32"/>
        </w:rPr>
        <w:t>（三）规范性原则</w:t>
      </w:r>
    </w:p>
    <w:p w:rsidR="00B1503E" w:rsidRDefault="00DF2F5D">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本文件严格按照GB/T 1.1—2020《标准化工作导则 第1部分：标准的结构和编写》的要求和规定编写本标准的内容，保证标准的编写质量。</w:t>
      </w:r>
    </w:p>
    <w:p w:rsidR="00B1503E" w:rsidRDefault="00DF2F5D">
      <w:pPr>
        <w:spacing w:beforeLines="50" w:before="156" w:afterLines="50" w:after="156" w:line="560" w:lineRule="exact"/>
        <w:ind w:firstLineChars="200" w:firstLine="643"/>
        <w:rPr>
          <w:rFonts w:ascii="楷体" w:eastAsia="楷体" w:hAnsi="楷体"/>
          <w:b/>
          <w:sz w:val="32"/>
          <w:szCs w:val="32"/>
        </w:rPr>
      </w:pPr>
      <w:r>
        <w:rPr>
          <w:rFonts w:ascii="楷体" w:eastAsia="楷体" w:hAnsi="楷体" w:hint="eastAsia"/>
          <w:b/>
          <w:sz w:val="32"/>
          <w:szCs w:val="32"/>
        </w:rPr>
        <w:t>（四）前瞻性原则</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兼顾当前区内食用木薯块根质量综合评价技术的同时，提出食用木薯块根农艺性状指标、食用型专用生理指标、鲜薯品质性状指标、加工特性指标共四级评价体系的评价方法，在标准中体现了个别特色性、前瞻性和先进性条款，作为对食用木薯块根质量综合评价技术的指导。</w:t>
      </w:r>
    </w:p>
    <w:p w:rsidR="00B1503E" w:rsidRPr="00F20BCD" w:rsidRDefault="00F20BCD" w:rsidP="00F20BC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lastRenderedPageBreak/>
        <w:t>五</w:t>
      </w:r>
      <w:r>
        <w:rPr>
          <w:rFonts w:ascii="黑体" w:eastAsia="黑体" w:hAnsi="黑体" w:cs="仿宋_GB2312"/>
          <w:sz w:val="32"/>
          <w:szCs w:val="32"/>
        </w:rPr>
        <w:t>、</w:t>
      </w:r>
      <w:r w:rsidR="00DF2F5D" w:rsidRPr="00F20BCD">
        <w:rPr>
          <w:rFonts w:ascii="黑体" w:eastAsia="黑体" w:hAnsi="黑体" w:cs="仿宋_GB2312" w:hint="eastAsia"/>
          <w:sz w:val="32"/>
          <w:szCs w:val="32"/>
        </w:rPr>
        <w:t>标准主要章节内容及确定依据</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团体标准《食用木薯块根质量综合评价技术规程》主要内容包括</w:t>
      </w:r>
      <w:r>
        <w:rPr>
          <w:rFonts w:ascii="仿宋_GB2312" w:eastAsia="仿宋_GB2312" w:hAnsi="宋体" w:hint="eastAsia"/>
          <w:sz w:val="32"/>
          <w:szCs w:val="32"/>
        </w:rPr>
        <w:t>术语和定义、评价</w:t>
      </w:r>
      <w:r>
        <w:rPr>
          <w:rFonts w:ascii="仿宋_GB2312" w:eastAsia="仿宋_GB2312" w:hAnsi="宋体"/>
          <w:sz w:val="32"/>
          <w:szCs w:val="32"/>
        </w:rPr>
        <w:t>指标、评价方法</w:t>
      </w:r>
      <w:r>
        <w:rPr>
          <w:rFonts w:ascii="仿宋_GB2312" w:eastAsia="仿宋_GB2312" w:hAnsi="宋体" w:hint="eastAsia"/>
          <w:sz w:val="32"/>
          <w:szCs w:val="32"/>
        </w:rPr>
        <w:t>、</w:t>
      </w:r>
      <w:r>
        <w:rPr>
          <w:rFonts w:ascii="仿宋_GB2312" w:eastAsia="仿宋_GB2312" w:hAnsi="宋体"/>
          <w:sz w:val="32"/>
          <w:szCs w:val="32"/>
        </w:rPr>
        <w:t>评价规则</w:t>
      </w:r>
      <w:r>
        <w:rPr>
          <w:rFonts w:ascii="仿宋_GB2312" w:eastAsia="仿宋_GB2312" w:hAnsi="宋体" w:hint="eastAsia"/>
          <w:sz w:val="32"/>
          <w:szCs w:val="32"/>
        </w:rPr>
        <w:t>。食用木薯块根质量的综合评价，</w:t>
      </w:r>
      <w:r>
        <w:rPr>
          <w:rFonts w:ascii="仿宋_GB2312" w:eastAsia="仿宋_GB2312" w:hAnsi="宋体"/>
          <w:sz w:val="32"/>
          <w:szCs w:val="32"/>
        </w:rPr>
        <w:t>全面、</w:t>
      </w:r>
      <w:r>
        <w:rPr>
          <w:rFonts w:ascii="仿宋_GB2312" w:eastAsia="仿宋_GB2312" w:hAnsi="宋体" w:hint="eastAsia"/>
          <w:sz w:val="32"/>
          <w:szCs w:val="32"/>
        </w:rPr>
        <w:t>客观</w:t>
      </w:r>
      <w:r>
        <w:rPr>
          <w:rFonts w:ascii="仿宋_GB2312" w:eastAsia="仿宋_GB2312" w:hAnsi="宋体"/>
          <w:sz w:val="32"/>
          <w:szCs w:val="32"/>
        </w:rPr>
        <w:t>，</w:t>
      </w:r>
      <w:r>
        <w:rPr>
          <w:rFonts w:ascii="仿宋_GB2312" w:eastAsia="仿宋_GB2312" w:hAnsi="宋体" w:hint="eastAsia"/>
          <w:sz w:val="32"/>
          <w:szCs w:val="32"/>
        </w:rPr>
        <w:t>对保障木薯块根质量、促进广西木薯产业化发展进程、加快我国木薯食品化开发利用具有重大意义。</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rPr>
        <w:t>3术语</w:t>
      </w:r>
      <w:r>
        <w:rPr>
          <w:rFonts w:ascii="仿宋_GB2312" w:eastAsia="仿宋_GB2312" w:hAnsi="宋体"/>
          <w:b/>
          <w:sz w:val="32"/>
          <w:szCs w:val="32"/>
        </w:rPr>
        <w:t>和定义</w:t>
      </w:r>
      <w:r>
        <w:rPr>
          <w:rFonts w:ascii="仿宋_GB2312" w:eastAsia="仿宋_GB2312" w:hAnsi="宋体" w:hint="eastAsia"/>
          <w:sz w:val="32"/>
          <w:szCs w:val="32"/>
        </w:rPr>
        <w:t>中食用木薯主要依据</w:t>
      </w:r>
      <w:r>
        <w:rPr>
          <w:rFonts w:ascii="仿宋_GB2312" w:eastAsia="仿宋_GB2312" w:hAnsi="宋体"/>
          <w:sz w:val="32"/>
          <w:szCs w:val="32"/>
        </w:rPr>
        <w:t>NY</w:t>
      </w:r>
      <w:r>
        <w:rPr>
          <w:rFonts w:ascii="仿宋_GB2312" w:eastAsia="仿宋_GB2312" w:hAnsi="宋体" w:hint="eastAsia"/>
          <w:sz w:val="32"/>
          <w:szCs w:val="32"/>
        </w:rPr>
        <w:t>/T 1</w:t>
      </w:r>
      <w:r>
        <w:rPr>
          <w:rFonts w:ascii="仿宋_GB2312" w:eastAsia="仿宋_GB2312" w:hAnsi="宋体"/>
          <w:sz w:val="32"/>
          <w:szCs w:val="32"/>
        </w:rPr>
        <w:t>520</w:t>
      </w:r>
      <w:r>
        <w:rPr>
          <w:rFonts w:ascii="仿宋_GB2312" w:eastAsia="仿宋_GB2312" w:hAnsi="宋体" w:hint="eastAsia"/>
          <w:sz w:val="32"/>
          <w:szCs w:val="32"/>
        </w:rPr>
        <w:t>《木薯》的</w:t>
      </w:r>
      <w:r>
        <w:rPr>
          <w:rFonts w:ascii="仿宋_GB2312" w:eastAsia="仿宋_GB2312" w:hAnsi="宋体"/>
          <w:sz w:val="32"/>
          <w:szCs w:val="32"/>
        </w:rPr>
        <w:t>定义</w:t>
      </w:r>
      <w:r>
        <w:rPr>
          <w:rFonts w:ascii="仿宋_GB2312" w:eastAsia="仿宋_GB2312" w:hAnsi="宋体" w:hint="eastAsia"/>
          <w:sz w:val="32"/>
          <w:szCs w:val="32"/>
        </w:rPr>
        <w:t>结合</w:t>
      </w:r>
      <w:r>
        <w:rPr>
          <w:rFonts w:ascii="仿宋_GB2312" w:eastAsia="仿宋_GB2312" w:hAnsi="宋体"/>
          <w:sz w:val="32"/>
          <w:szCs w:val="32"/>
        </w:rPr>
        <w:t>食用木薯</w:t>
      </w:r>
      <w:r>
        <w:rPr>
          <w:rFonts w:ascii="仿宋_GB2312" w:eastAsia="仿宋_GB2312" w:hAnsi="宋体" w:hint="eastAsia"/>
          <w:sz w:val="32"/>
          <w:szCs w:val="32"/>
        </w:rPr>
        <w:t>的</w:t>
      </w:r>
      <w:r>
        <w:rPr>
          <w:rFonts w:ascii="仿宋_GB2312" w:eastAsia="仿宋_GB2312" w:hAnsi="宋体"/>
          <w:sz w:val="32"/>
          <w:szCs w:val="32"/>
        </w:rPr>
        <w:t>特</w:t>
      </w:r>
      <w:r>
        <w:rPr>
          <w:rFonts w:ascii="仿宋_GB2312" w:eastAsia="仿宋_GB2312" w:hAnsi="宋体" w:hint="eastAsia"/>
          <w:sz w:val="32"/>
          <w:szCs w:val="32"/>
        </w:rPr>
        <w:t>点</w:t>
      </w:r>
      <w:r>
        <w:rPr>
          <w:rFonts w:ascii="仿宋_GB2312" w:eastAsia="仿宋_GB2312" w:hAnsi="宋体"/>
          <w:sz w:val="32"/>
          <w:szCs w:val="32"/>
        </w:rPr>
        <w:t>进行修改</w:t>
      </w:r>
      <w:r>
        <w:rPr>
          <w:rFonts w:ascii="仿宋_GB2312" w:eastAsia="仿宋_GB2312" w:hAnsi="宋体" w:hint="eastAsia"/>
          <w:sz w:val="32"/>
          <w:szCs w:val="32"/>
        </w:rPr>
        <w:t>，</w:t>
      </w:r>
      <w:r>
        <w:rPr>
          <w:rFonts w:ascii="仿宋_GB2312" w:eastAsia="仿宋_GB2312" w:hAnsi="宋体"/>
          <w:sz w:val="32"/>
          <w:szCs w:val="32"/>
        </w:rPr>
        <w:t>是指</w:t>
      </w:r>
      <w:r>
        <w:rPr>
          <w:rFonts w:ascii="仿宋_GB2312" w:eastAsia="仿宋_GB2312" w:hAnsi="宋体" w:hint="eastAsia"/>
          <w:sz w:val="32"/>
          <w:szCs w:val="32"/>
        </w:rPr>
        <w:t>作为</w:t>
      </w:r>
      <w:r>
        <w:rPr>
          <w:rFonts w:ascii="仿宋_GB2312" w:eastAsia="仿宋_GB2312" w:hAnsi="宋体"/>
          <w:sz w:val="32"/>
          <w:szCs w:val="32"/>
        </w:rPr>
        <w:t>食物热能来源的</w:t>
      </w:r>
      <w:r>
        <w:rPr>
          <w:rFonts w:ascii="仿宋_GB2312" w:eastAsia="仿宋_GB2312" w:hAnsi="宋体" w:hint="eastAsia"/>
          <w:sz w:val="32"/>
          <w:szCs w:val="32"/>
        </w:rPr>
        <w:t>鲜</w:t>
      </w:r>
      <w:r>
        <w:rPr>
          <w:rFonts w:ascii="仿宋_GB2312" w:eastAsia="仿宋_GB2312" w:hAnsi="宋体"/>
          <w:sz w:val="32"/>
          <w:szCs w:val="32"/>
        </w:rPr>
        <w:t>木薯，</w:t>
      </w:r>
      <w:r>
        <w:rPr>
          <w:rFonts w:ascii="仿宋_GB2312" w:eastAsia="仿宋_GB2312" w:hAnsi="宋体" w:hint="eastAsia"/>
          <w:sz w:val="32"/>
          <w:szCs w:val="32"/>
        </w:rPr>
        <w:t>主要品种</w:t>
      </w:r>
      <w:r>
        <w:rPr>
          <w:rFonts w:ascii="仿宋_GB2312" w:eastAsia="仿宋_GB2312" w:hAnsi="宋体"/>
          <w:sz w:val="32"/>
          <w:szCs w:val="32"/>
        </w:rPr>
        <w:t>有</w:t>
      </w:r>
      <w:r>
        <w:rPr>
          <w:rFonts w:ascii="仿宋_GB2312" w:eastAsia="仿宋_GB2312" w:hAnsi="宋体" w:hint="eastAsia"/>
          <w:sz w:val="32"/>
          <w:szCs w:val="32"/>
        </w:rPr>
        <w:t>华南9号、南植199等</w:t>
      </w:r>
      <w:r>
        <w:rPr>
          <w:rFonts w:ascii="仿宋_GB2312" w:eastAsia="仿宋_GB2312" w:hAnsi="宋体"/>
          <w:sz w:val="32"/>
          <w:szCs w:val="32"/>
        </w:rPr>
        <w:t>。</w:t>
      </w:r>
      <w:r>
        <w:rPr>
          <w:rFonts w:ascii="仿宋_GB2312" w:eastAsia="仿宋_GB2312" w:hAnsi="宋体" w:hint="eastAsia"/>
          <w:sz w:val="32"/>
          <w:szCs w:val="32"/>
        </w:rPr>
        <w:t>农艺</w:t>
      </w:r>
      <w:r>
        <w:rPr>
          <w:rFonts w:ascii="仿宋_GB2312" w:eastAsia="仿宋_GB2312" w:hAnsi="宋体"/>
          <w:sz w:val="32"/>
          <w:szCs w:val="32"/>
        </w:rPr>
        <w:t>性状的定义</w:t>
      </w:r>
      <w:r>
        <w:rPr>
          <w:rFonts w:ascii="仿宋_GB2312" w:eastAsia="仿宋_GB2312" w:hAnsi="宋体" w:hint="eastAsia"/>
          <w:sz w:val="32"/>
          <w:szCs w:val="32"/>
        </w:rPr>
        <w:t>主要依据</w:t>
      </w:r>
      <w:r>
        <w:rPr>
          <w:rFonts w:ascii="仿宋_GB2312" w:eastAsia="仿宋_GB2312" w:hAnsi="宋体" w:hint="eastAsia"/>
          <w:sz w:val="32"/>
          <w:szCs w:val="32"/>
          <w:lang w:val="zh-CN"/>
        </w:rPr>
        <w:t>YC/T 142《烟草农艺性状调查测量方法》结合</w:t>
      </w:r>
      <w:r>
        <w:rPr>
          <w:rFonts w:ascii="仿宋_GB2312" w:eastAsia="仿宋_GB2312" w:hAnsi="宋体"/>
          <w:sz w:val="32"/>
          <w:szCs w:val="32"/>
          <w:lang w:val="zh-CN"/>
        </w:rPr>
        <w:t>木薯块根质量评价的要求得出。农艺性状是</w:t>
      </w:r>
      <w:r>
        <w:rPr>
          <w:rFonts w:ascii="仿宋_GB2312" w:eastAsia="仿宋_GB2312" w:hAnsi="宋体" w:hint="eastAsia"/>
          <w:sz w:val="32"/>
          <w:szCs w:val="32"/>
        </w:rPr>
        <w:t>木薯</w:t>
      </w:r>
      <w:r>
        <w:rPr>
          <w:rFonts w:ascii="仿宋_GB2312" w:eastAsia="仿宋_GB2312" w:hAnsi="宋体"/>
          <w:sz w:val="32"/>
          <w:szCs w:val="32"/>
        </w:rPr>
        <w:t>具有的与生产有关的特征和特性，</w:t>
      </w:r>
      <w:r>
        <w:rPr>
          <w:rFonts w:ascii="仿宋_GB2312" w:eastAsia="仿宋_GB2312" w:hAnsi="宋体" w:hint="eastAsia"/>
          <w:sz w:val="32"/>
          <w:szCs w:val="32"/>
        </w:rPr>
        <w:t>是</w:t>
      </w:r>
      <w:r>
        <w:rPr>
          <w:rFonts w:ascii="仿宋_GB2312" w:eastAsia="仿宋_GB2312" w:hAnsi="宋体"/>
          <w:sz w:val="32"/>
          <w:szCs w:val="32"/>
        </w:rPr>
        <w:t>鉴别品种生产性能的重要标志，</w:t>
      </w:r>
      <w:r>
        <w:rPr>
          <w:rFonts w:ascii="仿宋_GB2312" w:eastAsia="仿宋_GB2312" w:hAnsi="宋体" w:hint="eastAsia"/>
          <w:sz w:val="32"/>
          <w:szCs w:val="32"/>
        </w:rPr>
        <w:t>受</w:t>
      </w:r>
      <w:r>
        <w:rPr>
          <w:rFonts w:ascii="仿宋_GB2312" w:eastAsia="仿宋_GB2312" w:hAnsi="宋体"/>
          <w:sz w:val="32"/>
          <w:szCs w:val="32"/>
        </w:rPr>
        <w:t>品种特性和环境条件的影响。</w:t>
      </w:r>
      <w:r>
        <w:rPr>
          <w:rFonts w:ascii="仿宋_GB2312" w:eastAsia="仿宋_GB2312" w:hAnsi="宋体" w:hint="eastAsia"/>
          <w:sz w:val="32"/>
          <w:szCs w:val="32"/>
        </w:rPr>
        <w:t>机械损伤</w:t>
      </w:r>
      <w:r>
        <w:rPr>
          <w:rFonts w:ascii="仿宋_GB2312" w:eastAsia="仿宋_GB2312" w:hAnsi="宋体"/>
          <w:sz w:val="32"/>
          <w:szCs w:val="32"/>
        </w:rPr>
        <w:t>主要依据NY</w:t>
      </w:r>
      <w:r>
        <w:rPr>
          <w:rFonts w:ascii="仿宋_GB2312" w:eastAsia="仿宋_GB2312" w:hAnsi="宋体" w:hint="eastAsia"/>
          <w:sz w:val="32"/>
          <w:szCs w:val="32"/>
        </w:rPr>
        <w:t>/T 1</w:t>
      </w:r>
      <w:r>
        <w:rPr>
          <w:rFonts w:ascii="仿宋_GB2312" w:eastAsia="仿宋_GB2312" w:hAnsi="宋体"/>
          <w:sz w:val="32"/>
          <w:szCs w:val="32"/>
        </w:rPr>
        <w:t>520</w:t>
      </w:r>
      <w:r>
        <w:rPr>
          <w:rFonts w:ascii="仿宋_GB2312" w:eastAsia="仿宋_GB2312" w:hAnsi="宋体" w:hint="eastAsia"/>
          <w:sz w:val="32"/>
          <w:szCs w:val="32"/>
        </w:rPr>
        <w:t>的</w:t>
      </w:r>
      <w:r>
        <w:rPr>
          <w:rFonts w:ascii="仿宋_GB2312" w:eastAsia="仿宋_GB2312" w:hAnsi="宋体"/>
          <w:sz w:val="32"/>
          <w:szCs w:val="32"/>
        </w:rPr>
        <w:t>定义</w:t>
      </w:r>
      <w:r>
        <w:rPr>
          <w:rFonts w:ascii="仿宋_GB2312" w:eastAsia="仿宋_GB2312" w:hAnsi="宋体" w:hint="eastAsia"/>
          <w:sz w:val="32"/>
          <w:szCs w:val="32"/>
        </w:rPr>
        <w:t>结合</w:t>
      </w:r>
      <w:r>
        <w:rPr>
          <w:rFonts w:ascii="仿宋_GB2312" w:eastAsia="仿宋_GB2312" w:hAnsi="宋体"/>
          <w:sz w:val="32"/>
          <w:szCs w:val="32"/>
        </w:rPr>
        <w:t>实际进行修改</w:t>
      </w:r>
      <w:r>
        <w:rPr>
          <w:rFonts w:ascii="仿宋_GB2312" w:eastAsia="仿宋_GB2312" w:hAnsi="宋体" w:hint="eastAsia"/>
          <w:sz w:val="32"/>
          <w:szCs w:val="32"/>
        </w:rPr>
        <w:t>，指块根</w:t>
      </w:r>
      <w:r>
        <w:rPr>
          <w:rFonts w:ascii="仿宋_GB2312" w:eastAsia="仿宋_GB2312" w:hAnsi="宋体"/>
          <w:sz w:val="32"/>
          <w:szCs w:val="32"/>
        </w:rPr>
        <w:t>收获</w:t>
      </w:r>
      <w:r>
        <w:rPr>
          <w:rFonts w:ascii="仿宋_GB2312" w:eastAsia="仿宋_GB2312" w:hAnsi="宋体" w:hint="eastAsia"/>
          <w:sz w:val="32"/>
          <w:szCs w:val="32"/>
        </w:rPr>
        <w:t>时</w:t>
      </w:r>
      <w:r>
        <w:rPr>
          <w:rFonts w:ascii="仿宋_GB2312" w:eastAsia="仿宋_GB2312" w:hAnsi="宋体"/>
          <w:sz w:val="32"/>
          <w:szCs w:val="32"/>
        </w:rPr>
        <w:t>或采摘前后</w:t>
      </w:r>
      <w:r>
        <w:rPr>
          <w:rFonts w:ascii="仿宋_GB2312" w:eastAsia="仿宋_GB2312" w:hAnsi="宋体" w:hint="eastAsia"/>
          <w:sz w:val="32"/>
          <w:szCs w:val="32"/>
        </w:rPr>
        <w:t>受</w:t>
      </w:r>
      <w:r>
        <w:rPr>
          <w:rFonts w:ascii="仿宋_GB2312" w:eastAsia="仿宋_GB2312" w:hAnsi="宋体"/>
          <w:sz w:val="32"/>
          <w:szCs w:val="32"/>
        </w:rPr>
        <w:t>外力碰撞或受压迫</w:t>
      </w:r>
      <w:r>
        <w:rPr>
          <w:rFonts w:ascii="仿宋_GB2312" w:eastAsia="仿宋_GB2312" w:hAnsi="宋体" w:hint="eastAsia"/>
          <w:sz w:val="32"/>
          <w:szCs w:val="32"/>
        </w:rPr>
        <w:t>、</w:t>
      </w:r>
      <w:r>
        <w:rPr>
          <w:rFonts w:ascii="仿宋_GB2312" w:eastAsia="仿宋_GB2312" w:hAnsi="宋体"/>
          <w:sz w:val="32"/>
          <w:szCs w:val="32"/>
        </w:rPr>
        <w:t>摩擦等造成的损伤</w:t>
      </w:r>
      <w:r>
        <w:rPr>
          <w:rFonts w:ascii="仿宋_GB2312" w:eastAsia="仿宋_GB2312" w:hAnsi="宋体" w:hint="eastAsia"/>
          <w:sz w:val="32"/>
          <w:szCs w:val="32"/>
        </w:rPr>
        <w:t>。木薯全粉的</w:t>
      </w:r>
      <w:r>
        <w:rPr>
          <w:rFonts w:ascii="仿宋_GB2312" w:eastAsia="仿宋_GB2312" w:hAnsi="宋体"/>
          <w:sz w:val="32"/>
          <w:szCs w:val="32"/>
        </w:rPr>
        <w:t>定义依据</w:t>
      </w:r>
      <w:r>
        <w:rPr>
          <w:rFonts w:ascii="仿宋_GB2312" w:eastAsia="仿宋_GB2312" w:hAnsi="宋体" w:hint="eastAsia"/>
          <w:sz w:val="32"/>
          <w:szCs w:val="32"/>
        </w:rPr>
        <w:t>DBS</w:t>
      </w:r>
      <w:r>
        <w:rPr>
          <w:rFonts w:ascii="仿宋_GB2312" w:eastAsia="仿宋_GB2312" w:hAnsi="宋体"/>
          <w:sz w:val="32"/>
          <w:szCs w:val="32"/>
        </w:rPr>
        <w:t xml:space="preserve"> </w:t>
      </w:r>
      <w:r>
        <w:rPr>
          <w:rFonts w:ascii="仿宋_GB2312" w:eastAsia="仿宋_GB2312" w:hAnsi="宋体" w:hint="eastAsia"/>
          <w:sz w:val="32"/>
          <w:szCs w:val="32"/>
        </w:rPr>
        <w:t>45</w:t>
      </w:r>
      <w:r>
        <w:rPr>
          <w:rFonts w:ascii="仿宋_GB2312" w:eastAsia="仿宋_GB2312" w:hAnsi="宋体"/>
          <w:sz w:val="32"/>
          <w:szCs w:val="32"/>
        </w:rPr>
        <w:t>/041</w:t>
      </w:r>
      <w:r>
        <w:rPr>
          <w:rFonts w:ascii="仿宋_GB2312" w:eastAsia="仿宋_GB2312" w:hAnsi="宋体" w:hint="eastAsia"/>
          <w:sz w:val="32"/>
          <w:szCs w:val="32"/>
        </w:rPr>
        <w:t>中的</w:t>
      </w:r>
      <w:r>
        <w:rPr>
          <w:rFonts w:ascii="仿宋_GB2312" w:eastAsia="仿宋_GB2312" w:hAnsi="宋体"/>
          <w:sz w:val="32"/>
          <w:szCs w:val="32"/>
        </w:rPr>
        <w:t>定义进行确定，</w:t>
      </w:r>
      <w:r>
        <w:rPr>
          <w:rFonts w:ascii="仿宋_GB2312" w:eastAsia="仿宋_GB2312" w:hAnsi="宋体" w:hint="eastAsia"/>
          <w:sz w:val="32"/>
          <w:szCs w:val="32"/>
        </w:rPr>
        <w:t>是以鲜木薯为原料，经清洗、去皮、锉磨（或干木薯经浸泡、磨粉）、脱水、干燥、过筛、包装等工艺加工制成的非即食木薯全粉。</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b/>
          <w:sz w:val="32"/>
          <w:szCs w:val="32"/>
        </w:rPr>
        <w:t>4</w:t>
      </w:r>
      <w:r>
        <w:rPr>
          <w:rFonts w:ascii="仿宋_GB2312" w:eastAsia="仿宋_GB2312" w:hAnsi="宋体" w:hint="eastAsia"/>
          <w:b/>
          <w:sz w:val="32"/>
          <w:szCs w:val="32"/>
        </w:rPr>
        <w:t>评价指标</w:t>
      </w:r>
      <w:r>
        <w:rPr>
          <w:rFonts w:ascii="仿宋_GB2312" w:eastAsia="仿宋_GB2312" w:hAnsi="宋体"/>
          <w:sz w:val="32"/>
          <w:szCs w:val="32"/>
        </w:rPr>
        <w:t>主要包括</w:t>
      </w:r>
      <w:r>
        <w:rPr>
          <w:rFonts w:ascii="仿宋_GB2312" w:eastAsia="仿宋_GB2312" w:hAnsi="宋体" w:hint="eastAsia"/>
          <w:sz w:val="32"/>
          <w:szCs w:val="32"/>
        </w:rPr>
        <w:t>农艺性状指标</w:t>
      </w:r>
      <w:r>
        <w:rPr>
          <w:rFonts w:ascii="仿宋_GB2312" w:eastAsia="仿宋_GB2312" w:hAnsi="宋体"/>
          <w:sz w:val="32"/>
          <w:szCs w:val="32"/>
        </w:rPr>
        <w:t>、</w:t>
      </w:r>
      <w:r>
        <w:rPr>
          <w:rFonts w:ascii="仿宋_GB2312" w:eastAsia="仿宋_GB2312" w:hAnsi="宋体" w:hint="eastAsia"/>
          <w:sz w:val="32"/>
          <w:szCs w:val="32"/>
        </w:rPr>
        <w:t>食用型</w:t>
      </w:r>
      <w:r>
        <w:rPr>
          <w:rFonts w:ascii="仿宋_GB2312" w:eastAsia="仿宋_GB2312" w:hAnsi="宋体"/>
          <w:sz w:val="32"/>
          <w:szCs w:val="32"/>
        </w:rPr>
        <w:t>专用生理指标、鲜薯品质</w:t>
      </w:r>
      <w:r>
        <w:rPr>
          <w:rFonts w:ascii="仿宋_GB2312" w:eastAsia="仿宋_GB2312" w:hAnsi="宋体" w:hint="eastAsia"/>
          <w:sz w:val="32"/>
          <w:szCs w:val="32"/>
        </w:rPr>
        <w:t>性状</w:t>
      </w:r>
      <w:r>
        <w:rPr>
          <w:rFonts w:ascii="仿宋_GB2312" w:eastAsia="仿宋_GB2312" w:hAnsi="宋体"/>
          <w:sz w:val="32"/>
          <w:szCs w:val="32"/>
        </w:rPr>
        <w:t>指标、加工特性指标四个方面，对木薯块根进行综合评价。</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b/>
          <w:sz w:val="32"/>
          <w:szCs w:val="32"/>
        </w:rPr>
        <w:t>4.1</w:t>
      </w:r>
      <w:r>
        <w:rPr>
          <w:rFonts w:ascii="仿宋_GB2312" w:eastAsia="仿宋_GB2312" w:hAnsi="宋体" w:hint="eastAsia"/>
          <w:b/>
          <w:sz w:val="32"/>
          <w:szCs w:val="32"/>
        </w:rPr>
        <w:t>农艺性状指标</w:t>
      </w:r>
      <w:r>
        <w:rPr>
          <w:rFonts w:ascii="仿宋_GB2312" w:eastAsia="仿宋_GB2312" w:hAnsi="宋体"/>
          <w:sz w:val="32"/>
          <w:szCs w:val="32"/>
        </w:rPr>
        <w:t>主要依据</w:t>
      </w:r>
      <w:r>
        <w:rPr>
          <w:rFonts w:ascii="仿宋_GB2312" w:eastAsia="仿宋_GB2312" w:hAnsi="宋体" w:hint="eastAsia"/>
          <w:sz w:val="32"/>
          <w:szCs w:val="32"/>
        </w:rPr>
        <w:t>广西壮族自治区农业科学院经济作物研究所多年的研究</w:t>
      </w:r>
      <w:r>
        <w:rPr>
          <w:rFonts w:ascii="仿宋_GB2312" w:eastAsia="仿宋_GB2312" w:hAnsi="宋体"/>
          <w:sz w:val="32"/>
          <w:szCs w:val="32"/>
        </w:rPr>
        <w:t>经验确定，对木薯块根的商品数率、</w:t>
      </w:r>
      <w:r>
        <w:rPr>
          <w:rFonts w:ascii="仿宋_GB2312" w:eastAsia="仿宋_GB2312" w:hAnsi="宋体" w:hint="eastAsia"/>
          <w:sz w:val="32"/>
          <w:szCs w:val="32"/>
        </w:rPr>
        <w:t>机械损伤</w:t>
      </w:r>
      <w:r>
        <w:rPr>
          <w:rFonts w:ascii="仿宋_GB2312" w:eastAsia="仿宋_GB2312" w:hAnsi="宋体"/>
          <w:sz w:val="32"/>
          <w:szCs w:val="32"/>
        </w:rPr>
        <w:t>、颜色、气味、</w:t>
      </w:r>
      <w:r>
        <w:rPr>
          <w:rFonts w:ascii="仿宋_GB2312" w:eastAsia="仿宋_GB2312" w:hAnsi="宋体" w:hint="eastAsia"/>
          <w:sz w:val="32"/>
          <w:szCs w:val="32"/>
        </w:rPr>
        <w:t>冻害</w:t>
      </w:r>
      <w:r>
        <w:rPr>
          <w:rFonts w:ascii="仿宋_GB2312" w:eastAsia="仿宋_GB2312" w:hAnsi="宋体"/>
          <w:sz w:val="32"/>
          <w:szCs w:val="32"/>
        </w:rPr>
        <w:t>、霉烂、</w:t>
      </w:r>
      <w:r>
        <w:rPr>
          <w:rFonts w:ascii="仿宋_GB2312" w:eastAsia="仿宋_GB2312" w:hAnsi="宋体" w:hint="eastAsia"/>
          <w:sz w:val="32"/>
          <w:szCs w:val="32"/>
        </w:rPr>
        <w:t>变质</w:t>
      </w:r>
      <w:r>
        <w:rPr>
          <w:rFonts w:ascii="仿宋_GB2312" w:eastAsia="仿宋_GB2312" w:hAnsi="宋体"/>
          <w:sz w:val="32"/>
          <w:szCs w:val="32"/>
        </w:rPr>
        <w:t>、病虫害、薯型、结薯集</w:t>
      </w:r>
      <w:r w:rsidR="00F20BCD">
        <w:rPr>
          <w:rFonts w:ascii="仿宋_GB2312" w:eastAsia="仿宋_GB2312" w:hAnsi="宋体"/>
          <w:noProof/>
          <w:sz w:val="32"/>
          <w:szCs w:val="32"/>
        </w:rPr>
        <w:lastRenderedPageBreak/>
        <w:drawing>
          <wp:anchor distT="0" distB="0" distL="114300" distR="114300" simplePos="0" relativeHeight="251660288" behindDoc="0" locked="0" layoutInCell="1" allowOverlap="1">
            <wp:simplePos x="0" y="0"/>
            <wp:positionH relativeFrom="column">
              <wp:posOffset>36830</wp:posOffset>
            </wp:positionH>
            <wp:positionV relativeFrom="paragraph">
              <wp:posOffset>498475</wp:posOffset>
            </wp:positionV>
            <wp:extent cx="5585460" cy="1638300"/>
            <wp:effectExtent l="0" t="0" r="0" b="0"/>
            <wp:wrapTopAndBottom/>
            <wp:docPr id="2" name="图片 2" descr="C:\Users\ADMINI~1\AppData\Local\Temp\WeChat Files\f3f81fa1bab01c2d59f5a8b65d0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f3f81fa1bab01c2d59f5a8b65d0137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585460" cy="1638300"/>
                    </a:xfrm>
                    <a:prstGeom prst="rect">
                      <a:avLst/>
                    </a:prstGeom>
                    <a:noFill/>
                    <a:ln>
                      <a:noFill/>
                    </a:ln>
                  </pic:spPr>
                </pic:pic>
              </a:graphicData>
            </a:graphic>
          </wp:anchor>
        </w:drawing>
      </w:r>
      <w:r>
        <w:rPr>
          <w:rFonts w:ascii="仿宋_GB2312" w:eastAsia="仿宋_GB2312" w:hAnsi="宋体"/>
          <w:sz w:val="32"/>
          <w:szCs w:val="32"/>
        </w:rPr>
        <w:t>中度</w:t>
      </w:r>
      <w:r>
        <w:rPr>
          <w:rFonts w:ascii="仿宋_GB2312" w:eastAsia="仿宋_GB2312" w:hAnsi="宋体" w:hint="eastAsia"/>
          <w:sz w:val="32"/>
          <w:szCs w:val="32"/>
        </w:rPr>
        <w:t>、</w:t>
      </w:r>
      <w:r>
        <w:rPr>
          <w:rFonts w:ascii="仿宋_GB2312" w:eastAsia="仿宋_GB2312" w:hAnsi="宋体"/>
          <w:sz w:val="32"/>
          <w:szCs w:val="32"/>
        </w:rPr>
        <w:t>结薯分布情况进行评价。</w:t>
      </w:r>
      <w:r>
        <w:rPr>
          <w:rFonts w:ascii="仿宋_GB2312" w:eastAsia="仿宋_GB2312" w:hAnsi="宋体" w:hint="eastAsia"/>
          <w:sz w:val="32"/>
          <w:szCs w:val="32"/>
        </w:rPr>
        <w:t>表1给出了</w:t>
      </w:r>
      <w:r>
        <w:rPr>
          <w:rFonts w:ascii="仿宋_GB2312" w:eastAsia="仿宋_GB2312" w:hAnsi="宋体"/>
          <w:sz w:val="32"/>
          <w:szCs w:val="32"/>
        </w:rPr>
        <w:t>具体的指标</w:t>
      </w:r>
      <w:r>
        <w:rPr>
          <w:rFonts w:ascii="仿宋_GB2312" w:eastAsia="仿宋_GB2312" w:hAnsi="宋体" w:hint="eastAsia"/>
          <w:sz w:val="32"/>
          <w:szCs w:val="32"/>
        </w:rPr>
        <w:t>:</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noProof/>
          <w:sz w:val="32"/>
          <w:szCs w:val="32"/>
        </w:rPr>
        <w:drawing>
          <wp:anchor distT="0" distB="0" distL="114300" distR="114300" simplePos="0" relativeHeight="251661312" behindDoc="0" locked="0" layoutInCell="1" allowOverlap="1">
            <wp:simplePos x="0" y="0"/>
            <wp:positionH relativeFrom="column">
              <wp:posOffset>86995</wp:posOffset>
            </wp:positionH>
            <wp:positionV relativeFrom="paragraph">
              <wp:posOffset>3689350</wp:posOffset>
            </wp:positionV>
            <wp:extent cx="5619115" cy="2232660"/>
            <wp:effectExtent l="0" t="0" r="635" b="0"/>
            <wp:wrapTopAndBottom/>
            <wp:docPr id="1" name="图片 1" descr="C:\Users\ADMINI~1\AppData\Local\Temp\WeChat Files\8bca8dec96ac584e607e123e8b7db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bca8dec96ac584e607e123e8b7dbf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619115" cy="2232660"/>
                    </a:xfrm>
                    <a:prstGeom prst="rect">
                      <a:avLst/>
                    </a:prstGeom>
                    <a:noFill/>
                    <a:ln>
                      <a:noFill/>
                    </a:ln>
                  </pic:spPr>
                </pic:pic>
              </a:graphicData>
            </a:graphic>
          </wp:anchor>
        </w:drawing>
      </w:r>
      <w:r>
        <w:rPr>
          <w:rFonts w:ascii="仿宋_GB2312" w:eastAsia="仿宋_GB2312" w:hAnsi="宋体" w:hint="eastAsia"/>
          <w:sz w:val="32"/>
          <w:szCs w:val="32"/>
        </w:rPr>
        <w:t>块根</w:t>
      </w:r>
      <w:r>
        <w:rPr>
          <w:rFonts w:ascii="仿宋_GB2312" w:eastAsia="仿宋_GB2312" w:hAnsi="宋体"/>
          <w:sz w:val="32"/>
          <w:szCs w:val="32"/>
        </w:rPr>
        <w:t>商品数率</w:t>
      </w:r>
      <w:r>
        <w:rPr>
          <w:rFonts w:ascii="仿宋_GB2312" w:eastAsia="仿宋_GB2312" w:hAnsi="宋体" w:hint="eastAsia"/>
          <w:sz w:val="32"/>
          <w:szCs w:val="32"/>
        </w:rPr>
        <w:t>是</w:t>
      </w:r>
      <w:r>
        <w:rPr>
          <w:rFonts w:ascii="仿宋_GB2312" w:eastAsia="仿宋_GB2312" w:hAnsi="宋体"/>
          <w:sz w:val="32"/>
          <w:szCs w:val="32"/>
        </w:rPr>
        <w:t>影响经济效益的主要因素</w:t>
      </w:r>
      <w:r>
        <w:rPr>
          <w:rFonts w:ascii="仿宋_GB2312" w:eastAsia="仿宋_GB2312" w:hAnsi="宋体" w:hint="eastAsia"/>
          <w:sz w:val="32"/>
          <w:szCs w:val="32"/>
        </w:rPr>
        <w:t>，</w:t>
      </w:r>
      <w:r>
        <w:rPr>
          <w:rFonts w:ascii="仿宋_GB2312" w:eastAsia="仿宋_GB2312" w:hAnsi="宋体"/>
          <w:sz w:val="32"/>
          <w:szCs w:val="32"/>
        </w:rPr>
        <w:t>要求</w:t>
      </w:r>
      <w:r>
        <w:rPr>
          <w:rFonts w:ascii="仿宋_GB2312" w:eastAsia="仿宋_GB2312" w:hAnsi="宋体" w:hint="eastAsia"/>
          <w:sz w:val="32"/>
          <w:szCs w:val="32"/>
        </w:rPr>
        <w:t>一级木薯</w:t>
      </w:r>
      <w:r>
        <w:rPr>
          <w:rFonts w:ascii="仿宋_GB2312" w:eastAsia="仿宋_GB2312" w:hAnsi="宋体"/>
          <w:sz w:val="32"/>
          <w:szCs w:val="32"/>
        </w:rPr>
        <w:t>的块根商品数率应达到</w:t>
      </w:r>
      <w:r>
        <w:rPr>
          <w:rFonts w:ascii="仿宋_GB2312" w:eastAsia="仿宋_GB2312" w:hAnsi="宋体" w:hint="eastAsia"/>
          <w:sz w:val="32"/>
          <w:szCs w:val="32"/>
        </w:rPr>
        <w:t>80％以上</w:t>
      </w:r>
      <w:r>
        <w:rPr>
          <w:rFonts w:ascii="仿宋_GB2312" w:eastAsia="仿宋_GB2312" w:hAnsi="宋体"/>
          <w:sz w:val="32"/>
          <w:szCs w:val="32"/>
        </w:rPr>
        <w:t>，</w:t>
      </w:r>
      <w:r>
        <w:rPr>
          <w:rFonts w:ascii="仿宋_GB2312" w:eastAsia="仿宋_GB2312" w:hAnsi="宋体" w:hint="eastAsia"/>
          <w:sz w:val="32"/>
          <w:szCs w:val="32"/>
        </w:rPr>
        <w:t>二级、三级分别达到70%～80%、60%～70%。木薯</w:t>
      </w:r>
      <w:r>
        <w:rPr>
          <w:rFonts w:ascii="仿宋_GB2312" w:eastAsia="仿宋_GB2312" w:hAnsi="宋体"/>
          <w:sz w:val="32"/>
          <w:szCs w:val="32"/>
        </w:rPr>
        <w:t>块根在</w:t>
      </w:r>
      <w:r>
        <w:rPr>
          <w:rFonts w:ascii="仿宋_GB2312" w:eastAsia="仿宋_GB2312" w:hAnsi="宋体" w:hint="eastAsia"/>
          <w:sz w:val="32"/>
          <w:szCs w:val="32"/>
        </w:rPr>
        <w:t>采收</w:t>
      </w:r>
      <w:r>
        <w:rPr>
          <w:rFonts w:ascii="仿宋_GB2312" w:eastAsia="仿宋_GB2312" w:hAnsi="宋体"/>
          <w:sz w:val="32"/>
          <w:szCs w:val="32"/>
        </w:rPr>
        <w:t>、运输过程中</w:t>
      </w:r>
      <w:r>
        <w:rPr>
          <w:rFonts w:ascii="仿宋_GB2312" w:eastAsia="仿宋_GB2312" w:hAnsi="宋体" w:hint="eastAsia"/>
          <w:sz w:val="32"/>
          <w:szCs w:val="32"/>
        </w:rPr>
        <w:t>会受到损伤，</w:t>
      </w:r>
      <w:r>
        <w:rPr>
          <w:rFonts w:ascii="仿宋_GB2312" w:eastAsia="仿宋_GB2312" w:hAnsi="宋体"/>
          <w:sz w:val="32"/>
          <w:szCs w:val="32"/>
        </w:rPr>
        <w:t>对</w:t>
      </w:r>
      <w:r>
        <w:rPr>
          <w:rFonts w:ascii="仿宋_GB2312" w:eastAsia="仿宋_GB2312" w:hAnsi="宋体" w:hint="eastAsia"/>
          <w:sz w:val="32"/>
          <w:szCs w:val="32"/>
        </w:rPr>
        <w:t>木薯</w:t>
      </w:r>
      <w:r>
        <w:rPr>
          <w:rFonts w:ascii="仿宋_GB2312" w:eastAsia="仿宋_GB2312" w:hAnsi="宋体"/>
          <w:sz w:val="32"/>
          <w:szCs w:val="32"/>
        </w:rPr>
        <w:t>的</w:t>
      </w:r>
      <w:r>
        <w:rPr>
          <w:rFonts w:ascii="仿宋_GB2312" w:eastAsia="仿宋_GB2312" w:hAnsi="宋体" w:hint="eastAsia"/>
          <w:sz w:val="32"/>
          <w:szCs w:val="32"/>
        </w:rPr>
        <w:t>品质</w:t>
      </w:r>
      <w:r>
        <w:rPr>
          <w:rFonts w:ascii="仿宋_GB2312" w:eastAsia="仿宋_GB2312" w:hAnsi="宋体"/>
          <w:sz w:val="32"/>
          <w:szCs w:val="32"/>
        </w:rPr>
        <w:t>和外观产生不良影响</w:t>
      </w:r>
      <w:r>
        <w:rPr>
          <w:rFonts w:ascii="仿宋_GB2312" w:eastAsia="仿宋_GB2312" w:hAnsi="宋体" w:hint="eastAsia"/>
          <w:sz w:val="32"/>
          <w:szCs w:val="32"/>
        </w:rPr>
        <w:t>，NY/T 1520中</w:t>
      </w:r>
      <w:r>
        <w:rPr>
          <w:rFonts w:ascii="仿宋_GB2312" w:eastAsia="仿宋_GB2312" w:hAnsi="宋体"/>
          <w:sz w:val="32"/>
          <w:szCs w:val="32"/>
        </w:rPr>
        <w:t>对</w:t>
      </w:r>
      <w:r>
        <w:rPr>
          <w:rFonts w:ascii="仿宋_GB2312" w:eastAsia="仿宋_GB2312" w:hAnsi="宋体" w:hint="eastAsia"/>
          <w:sz w:val="32"/>
          <w:szCs w:val="32"/>
        </w:rPr>
        <w:t>的一等品</w:t>
      </w:r>
      <w:r>
        <w:rPr>
          <w:rFonts w:ascii="仿宋_GB2312" w:eastAsia="仿宋_GB2312" w:hAnsi="宋体"/>
          <w:sz w:val="32"/>
          <w:szCs w:val="32"/>
        </w:rPr>
        <w:t>、二等</w:t>
      </w:r>
      <w:r>
        <w:rPr>
          <w:rFonts w:ascii="仿宋_GB2312" w:eastAsia="仿宋_GB2312" w:hAnsi="宋体" w:hint="eastAsia"/>
          <w:sz w:val="32"/>
          <w:szCs w:val="32"/>
        </w:rPr>
        <w:t>品</w:t>
      </w:r>
      <w:r>
        <w:rPr>
          <w:rFonts w:ascii="仿宋_GB2312" w:eastAsia="仿宋_GB2312" w:hAnsi="宋体"/>
          <w:sz w:val="32"/>
          <w:szCs w:val="32"/>
        </w:rPr>
        <w:t>、三等品</w:t>
      </w:r>
      <w:r>
        <w:rPr>
          <w:rFonts w:ascii="仿宋_GB2312" w:eastAsia="仿宋_GB2312" w:hAnsi="宋体" w:hint="eastAsia"/>
          <w:sz w:val="32"/>
          <w:szCs w:val="32"/>
        </w:rPr>
        <w:t>食用木薯</w:t>
      </w:r>
      <w:r>
        <w:rPr>
          <w:rFonts w:ascii="仿宋_GB2312" w:eastAsia="仿宋_GB2312" w:hAnsi="宋体"/>
          <w:sz w:val="32"/>
          <w:szCs w:val="32"/>
        </w:rPr>
        <w:t>的要求</w:t>
      </w:r>
      <w:r>
        <w:rPr>
          <w:rFonts w:ascii="仿宋_GB2312" w:eastAsia="仿宋_GB2312" w:hAnsi="宋体" w:hint="eastAsia"/>
          <w:sz w:val="32"/>
          <w:szCs w:val="32"/>
        </w:rPr>
        <w:t>为：</w:t>
      </w:r>
    </w:p>
    <w:p w:rsidR="00B1503E" w:rsidRDefault="00DF2F5D">
      <w:pPr>
        <w:spacing w:line="560" w:lineRule="exact"/>
        <w:rPr>
          <w:rFonts w:ascii="仿宋_GB2312" w:eastAsia="仿宋_GB2312" w:hAnsi="宋体"/>
          <w:sz w:val="32"/>
          <w:szCs w:val="32"/>
        </w:rPr>
      </w:pPr>
      <w:r>
        <w:rPr>
          <w:rFonts w:ascii="仿宋_GB2312" w:eastAsia="仿宋_GB2312" w:hAnsi="宋体" w:hint="eastAsia"/>
          <w:sz w:val="32"/>
          <w:szCs w:val="32"/>
        </w:rPr>
        <w:t>因此确定</w:t>
      </w:r>
      <w:r>
        <w:rPr>
          <w:rFonts w:ascii="仿宋_GB2312" w:eastAsia="仿宋_GB2312" w:hAnsi="宋体"/>
          <w:sz w:val="32"/>
          <w:szCs w:val="32"/>
        </w:rPr>
        <w:t>一级</w:t>
      </w:r>
      <w:r>
        <w:rPr>
          <w:rFonts w:ascii="仿宋_GB2312" w:eastAsia="仿宋_GB2312" w:hAnsi="宋体" w:hint="eastAsia"/>
          <w:sz w:val="32"/>
          <w:szCs w:val="32"/>
        </w:rPr>
        <w:t>、</w:t>
      </w:r>
      <w:r>
        <w:rPr>
          <w:rFonts w:ascii="仿宋_GB2312" w:eastAsia="仿宋_GB2312" w:hAnsi="宋体"/>
          <w:sz w:val="32"/>
          <w:szCs w:val="32"/>
        </w:rPr>
        <w:t>二级、三级木薯</w:t>
      </w:r>
      <w:r>
        <w:rPr>
          <w:rFonts w:ascii="仿宋_GB2312" w:eastAsia="仿宋_GB2312" w:hAnsi="宋体" w:hint="eastAsia"/>
          <w:sz w:val="32"/>
          <w:szCs w:val="32"/>
        </w:rPr>
        <w:t>的</w:t>
      </w:r>
      <w:r>
        <w:rPr>
          <w:rFonts w:ascii="仿宋_GB2312" w:eastAsia="仿宋_GB2312" w:hAnsi="宋体"/>
          <w:sz w:val="32"/>
          <w:szCs w:val="32"/>
        </w:rPr>
        <w:t>机械损伤程度分别</w:t>
      </w:r>
      <w:r>
        <w:rPr>
          <w:rFonts w:ascii="仿宋_GB2312" w:eastAsia="仿宋_GB2312" w:hAnsi="宋体" w:hint="eastAsia"/>
          <w:sz w:val="32"/>
          <w:szCs w:val="32"/>
        </w:rPr>
        <w:t>要求</w:t>
      </w:r>
      <w:r>
        <w:rPr>
          <w:rFonts w:ascii="仿宋_GB2312" w:eastAsia="仿宋_GB2312" w:hAnsi="宋体"/>
          <w:sz w:val="32"/>
          <w:szCs w:val="32"/>
        </w:rPr>
        <w:t>不高于</w:t>
      </w:r>
      <w:r>
        <w:rPr>
          <w:rFonts w:ascii="仿宋_GB2312" w:eastAsia="仿宋_GB2312" w:hAnsi="宋体" w:hint="eastAsia"/>
          <w:sz w:val="32"/>
          <w:szCs w:val="32"/>
        </w:rPr>
        <w:t>5%、10%、20%。对所有</w:t>
      </w:r>
      <w:r>
        <w:rPr>
          <w:rFonts w:ascii="仿宋_GB2312" w:eastAsia="仿宋_GB2312" w:hAnsi="宋体"/>
          <w:sz w:val="32"/>
          <w:szCs w:val="32"/>
        </w:rPr>
        <w:t>食用木薯的基本要求是</w:t>
      </w:r>
      <w:r>
        <w:rPr>
          <w:rFonts w:ascii="仿宋_GB2312" w:eastAsia="仿宋_GB2312" w:hAnsi="宋体" w:hint="eastAsia"/>
          <w:sz w:val="32"/>
          <w:szCs w:val="32"/>
        </w:rPr>
        <w:t>具有木薯固有的特殊气味，无异味，</w:t>
      </w:r>
      <w:r>
        <w:rPr>
          <w:rFonts w:ascii="仿宋_GB2312" w:eastAsia="仿宋_GB2312" w:hAnsi="宋体"/>
          <w:sz w:val="32"/>
          <w:szCs w:val="32"/>
        </w:rPr>
        <w:t>无</w:t>
      </w:r>
      <w:r>
        <w:rPr>
          <w:rFonts w:ascii="仿宋_GB2312" w:eastAsia="仿宋_GB2312" w:hAnsi="宋体" w:hint="eastAsia"/>
          <w:sz w:val="32"/>
          <w:szCs w:val="32"/>
        </w:rPr>
        <w:t>冻害，</w:t>
      </w:r>
      <w:r>
        <w:rPr>
          <w:rFonts w:ascii="仿宋_GB2312" w:eastAsia="仿宋_GB2312" w:hAnsi="宋体"/>
          <w:sz w:val="32"/>
          <w:szCs w:val="32"/>
        </w:rPr>
        <w:t>无</w:t>
      </w:r>
      <w:r>
        <w:rPr>
          <w:rFonts w:ascii="仿宋_GB2312" w:eastAsia="仿宋_GB2312" w:hAnsi="宋体" w:hint="eastAsia"/>
          <w:sz w:val="32"/>
          <w:szCs w:val="32"/>
        </w:rPr>
        <w:t>霉烂，无变质，表皮光滑，无病虫害。此外</w:t>
      </w:r>
      <w:r>
        <w:rPr>
          <w:rFonts w:ascii="仿宋_GB2312" w:eastAsia="仿宋_GB2312" w:hAnsi="宋体"/>
          <w:sz w:val="32"/>
          <w:szCs w:val="32"/>
        </w:rPr>
        <w:t>薯型、结薯集中度</w:t>
      </w:r>
      <w:r>
        <w:rPr>
          <w:rFonts w:ascii="仿宋_GB2312" w:eastAsia="仿宋_GB2312" w:hAnsi="宋体" w:hint="eastAsia"/>
          <w:sz w:val="32"/>
          <w:szCs w:val="32"/>
        </w:rPr>
        <w:t>、</w:t>
      </w:r>
      <w:r>
        <w:rPr>
          <w:rFonts w:ascii="仿宋_GB2312" w:eastAsia="仿宋_GB2312" w:hAnsi="宋体"/>
          <w:sz w:val="32"/>
          <w:szCs w:val="32"/>
        </w:rPr>
        <w:t>结薯分布情况</w:t>
      </w:r>
      <w:r>
        <w:rPr>
          <w:rFonts w:ascii="仿宋_GB2312" w:eastAsia="仿宋_GB2312" w:hAnsi="宋体" w:hint="eastAsia"/>
          <w:sz w:val="32"/>
          <w:szCs w:val="32"/>
        </w:rPr>
        <w:t>也会</w:t>
      </w:r>
      <w:r>
        <w:rPr>
          <w:rFonts w:ascii="仿宋_GB2312" w:eastAsia="仿宋_GB2312" w:hAnsi="宋体"/>
          <w:sz w:val="32"/>
          <w:szCs w:val="32"/>
        </w:rPr>
        <w:t>对木薯块根质量产生相应的影响，因此需要进行区分。</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rPr>
        <w:t>4.2食用型</w:t>
      </w:r>
      <w:r>
        <w:rPr>
          <w:rFonts w:ascii="仿宋_GB2312" w:eastAsia="仿宋_GB2312" w:hAnsi="宋体"/>
          <w:b/>
          <w:sz w:val="32"/>
          <w:szCs w:val="32"/>
        </w:rPr>
        <w:t>专用生理指标</w:t>
      </w:r>
      <w:r>
        <w:rPr>
          <w:rFonts w:ascii="仿宋_GB2312" w:eastAsia="仿宋_GB2312" w:hAnsi="宋体" w:hint="eastAsia"/>
          <w:sz w:val="32"/>
          <w:szCs w:val="32"/>
        </w:rPr>
        <w:t>中</w:t>
      </w:r>
      <w:r>
        <w:rPr>
          <w:rFonts w:ascii="仿宋_GB2312" w:eastAsia="仿宋_GB2312" w:hAnsi="宋体"/>
          <w:sz w:val="32"/>
          <w:szCs w:val="32"/>
        </w:rPr>
        <w:t>木薯鲜薯HCN含量因品种不同而有较大差异，当HCN含量低于50 mg/kg时，不用泡水即可食用，</w:t>
      </w:r>
      <w:r>
        <w:rPr>
          <w:rFonts w:ascii="仿宋_GB2312" w:eastAsia="仿宋_GB2312" w:hAnsi="宋体"/>
          <w:sz w:val="32"/>
          <w:szCs w:val="32"/>
        </w:rPr>
        <w:lastRenderedPageBreak/>
        <w:t>口感也较好。国际上将鲜薯HCN含量低于50 mg/kg的木薯称为甜木薯，即食用木薯</w:t>
      </w:r>
      <w:r>
        <w:rPr>
          <w:rFonts w:ascii="仿宋_GB2312" w:eastAsia="仿宋_GB2312" w:hAnsi="宋体" w:hint="eastAsia"/>
          <w:sz w:val="32"/>
          <w:szCs w:val="32"/>
        </w:rPr>
        <w:t>。由此确定木薯</w:t>
      </w:r>
      <w:r>
        <w:rPr>
          <w:rFonts w:ascii="仿宋_GB2312" w:eastAsia="仿宋_GB2312" w:hAnsi="宋体"/>
          <w:sz w:val="32"/>
          <w:szCs w:val="32"/>
        </w:rPr>
        <w:t>中</w:t>
      </w:r>
      <w:r>
        <w:rPr>
          <w:rFonts w:ascii="仿宋_GB2312" w:eastAsia="仿宋_GB2312" w:hAnsi="宋体" w:hint="eastAsia"/>
          <w:sz w:val="32"/>
          <w:szCs w:val="32"/>
        </w:rPr>
        <w:t>HCN的含量</w:t>
      </w:r>
      <w:r>
        <w:rPr>
          <w:rFonts w:ascii="仿宋_GB2312" w:eastAsia="仿宋_GB2312" w:hAnsi="宋体"/>
          <w:sz w:val="32"/>
          <w:szCs w:val="32"/>
        </w:rPr>
        <w:t>应小于</w:t>
      </w:r>
      <w:r>
        <w:rPr>
          <w:rFonts w:ascii="仿宋_GB2312" w:eastAsia="仿宋_GB2312" w:hAnsi="宋体" w:hint="eastAsia"/>
          <w:sz w:val="32"/>
          <w:szCs w:val="32"/>
        </w:rPr>
        <w:t>50</w:t>
      </w:r>
      <w:r>
        <w:rPr>
          <w:rFonts w:ascii="仿宋_GB2312" w:eastAsia="仿宋_GB2312" w:hAnsi="宋体"/>
          <w:sz w:val="32"/>
          <w:szCs w:val="32"/>
        </w:rPr>
        <w:t xml:space="preserve"> </w:t>
      </w:r>
      <w:r>
        <w:rPr>
          <w:rFonts w:ascii="仿宋_GB2312" w:eastAsia="仿宋_GB2312" w:hAnsi="宋体" w:hint="eastAsia"/>
          <w:sz w:val="32"/>
          <w:szCs w:val="32"/>
        </w:rPr>
        <w:t>mg/kg。污染物限量主要依据GB</w:t>
      </w:r>
      <w:r>
        <w:rPr>
          <w:rFonts w:ascii="仿宋_GB2312" w:eastAsia="仿宋_GB2312" w:hAnsi="宋体"/>
          <w:sz w:val="32"/>
          <w:szCs w:val="32"/>
        </w:rPr>
        <w:t xml:space="preserve"> 2762</w:t>
      </w:r>
      <w:r>
        <w:rPr>
          <w:rFonts w:ascii="仿宋_GB2312" w:eastAsia="仿宋_GB2312" w:hAnsi="宋体" w:hint="eastAsia"/>
          <w:sz w:val="32"/>
          <w:szCs w:val="32"/>
        </w:rPr>
        <w:t>的</w:t>
      </w:r>
      <w:r>
        <w:rPr>
          <w:rFonts w:ascii="仿宋_GB2312" w:eastAsia="仿宋_GB2312" w:hAnsi="宋体"/>
          <w:sz w:val="32"/>
          <w:szCs w:val="32"/>
        </w:rPr>
        <w:t>规定。</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rPr>
        <w:t>4.3</w:t>
      </w:r>
      <w:r>
        <w:rPr>
          <w:rFonts w:ascii="仿宋_GB2312" w:eastAsia="仿宋_GB2312" w:hAnsi="宋体" w:hint="eastAsia"/>
          <w:sz w:val="32"/>
          <w:szCs w:val="32"/>
        </w:rPr>
        <w:t>木薯是世界上许多贫困地区最重要的粮食作物，人们</w:t>
      </w:r>
      <w:r>
        <w:rPr>
          <w:rFonts w:ascii="仿宋_GB2312" w:eastAsia="仿宋_GB2312" w:hAnsi="宋体"/>
          <w:sz w:val="32"/>
          <w:szCs w:val="32"/>
        </w:rPr>
        <w:t>对食用木薯最关注的是其</w:t>
      </w:r>
      <w:r>
        <w:rPr>
          <w:rFonts w:ascii="仿宋_GB2312" w:eastAsia="仿宋_GB2312" w:hAnsi="宋体" w:hint="eastAsia"/>
          <w:sz w:val="32"/>
          <w:szCs w:val="32"/>
        </w:rPr>
        <w:t>营养指标，</w:t>
      </w:r>
      <w:r>
        <w:rPr>
          <w:rFonts w:ascii="仿宋_GB2312" w:eastAsia="仿宋_GB2312" w:hAnsi="宋体"/>
          <w:sz w:val="32"/>
          <w:szCs w:val="32"/>
        </w:rPr>
        <w:t>因此</w:t>
      </w:r>
      <w:r>
        <w:rPr>
          <w:rFonts w:ascii="仿宋_GB2312" w:eastAsia="仿宋_GB2312" w:hAnsi="宋体" w:hint="eastAsia"/>
          <w:b/>
          <w:sz w:val="32"/>
          <w:szCs w:val="32"/>
        </w:rPr>
        <w:t>鲜薯</w:t>
      </w:r>
      <w:r>
        <w:rPr>
          <w:rFonts w:ascii="仿宋_GB2312" w:eastAsia="仿宋_GB2312" w:hAnsi="宋体"/>
          <w:b/>
          <w:sz w:val="32"/>
          <w:szCs w:val="32"/>
        </w:rPr>
        <w:t>品质性状指标</w:t>
      </w:r>
      <w:r>
        <w:rPr>
          <w:rFonts w:ascii="仿宋_GB2312" w:eastAsia="仿宋_GB2312" w:hAnsi="宋体" w:hint="eastAsia"/>
          <w:sz w:val="32"/>
          <w:szCs w:val="32"/>
        </w:rPr>
        <w:t>确定为水分、干物质含量、淀粉、直链淀粉</w:t>
      </w:r>
      <w:r>
        <w:rPr>
          <w:rFonts w:ascii="仿宋_GB2312" w:eastAsia="仿宋_GB2312" w:hAnsi="宋体"/>
          <w:sz w:val="32"/>
          <w:szCs w:val="32"/>
        </w:rPr>
        <w:t>、</w:t>
      </w:r>
      <w:r>
        <w:rPr>
          <w:rFonts w:ascii="仿宋_GB2312" w:eastAsia="仿宋_GB2312" w:hAnsi="宋体" w:hint="eastAsia"/>
          <w:sz w:val="32"/>
          <w:szCs w:val="32"/>
        </w:rPr>
        <w:t>可溶性糖、蛋白质、</w:t>
      </w:r>
      <w:r w:rsidR="0066301B">
        <w:rPr>
          <w:rFonts w:ascii="仿宋_GB2312" w:eastAsia="仿宋_GB2312" w:hAnsi="宋体" w:hint="eastAsia"/>
          <w:sz w:val="32"/>
          <w:szCs w:val="32"/>
        </w:rPr>
        <w:t>粗</w:t>
      </w:r>
      <w:r>
        <w:rPr>
          <w:rFonts w:ascii="仿宋_GB2312" w:eastAsia="仿宋_GB2312" w:hAnsi="宋体" w:hint="eastAsia"/>
          <w:sz w:val="32"/>
          <w:szCs w:val="32"/>
        </w:rPr>
        <w:t>纤维、维生素C、β-胡萝卜素、矿物质含量（钾、钙）10个项目</w:t>
      </w:r>
      <w:r>
        <w:rPr>
          <w:rFonts w:ascii="仿宋_GB2312" w:eastAsia="仿宋_GB2312" w:hAnsi="宋体"/>
          <w:sz w:val="32"/>
          <w:szCs w:val="32"/>
        </w:rPr>
        <w:t>。</w:t>
      </w:r>
      <w:r>
        <w:rPr>
          <w:rFonts w:ascii="仿宋_GB2312" w:eastAsia="仿宋_GB2312" w:hAnsi="宋体" w:hint="eastAsia"/>
          <w:sz w:val="32"/>
          <w:szCs w:val="32"/>
        </w:rPr>
        <w:t>不同品种木薯的多数品质指标差异较大，参考对12个</w:t>
      </w:r>
      <w:r>
        <w:rPr>
          <w:rFonts w:ascii="仿宋_GB2312" w:eastAsia="仿宋_GB2312" w:hAnsi="宋体"/>
          <w:sz w:val="32"/>
          <w:szCs w:val="32"/>
        </w:rPr>
        <w:t>品种的木薯块根的检测结果</w:t>
      </w:r>
      <w:r>
        <w:rPr>
          <w:rFonts w:ascii="仿宋_GB2312" w:eastAsia="仿宋_GB2312" w:hAnsi="宋体" w:hint="eastAsia"/>
          <w:sz w:val="32"/>
          <w:szCs w:val="32"/>
        </w:rPr>
        <w:t>确定鲜薯品质性状指标。</w:t>
      </w:r>
    </w:p>
    <w:p w:rsidR="00B1503E" w:rsidRDefault="00DF2F5D">
      <w:pPr>
        <w:spacing w:line="560" w:lineRule="exact"/>
        <w:ind w:firstLineChars="200" w:firstLine="643"/>
        <w:rPr>
          <w:rFonts w:ascii="仿宋_GB2312" w:eastAsia="仿宋_GB2312"/>
          <w:sz w:val="32"/>
          <w:szCs w:val="32"/>
          <w:lang w:val="zh-CN"/>
        </w:rPr>
      </w:pPr>
      <w:r>
        <w:rPr>
          <w:rFonts w:ascii="仿宋_GB2312" w:eastAsia="仿宋_GB2312" w:hAnsi="宋体" w:hint="eastAsia"/>
          <w:b/>
          <w:sz w:val="32"/>
          <w:szCs w:val="32"/>
        </w:rPr>
        <w:t>水分</w:t>
      </w:r>
      <w:r>
        <w:rPr>
          <w:rFonts w:ascii="仿宋_GB2312" w:eastAsia="仿宋_GB2312" w:hAnsi="宋体"/>
          <w:sz w:val="32"/>
          <w:szCs w:val="32"/>
        </w:rPr>
        <w:t>：鲜木薯</w:t>
      </w:r>
      <w:r w:rsidRPr="00C747B0">
        <w:rPr>
          <w:rFonts w:ascii="仿宋_GB2312" w:eastAsia="仿宋_GB2312" w:hAnsi="宋体" w:hint="eastAsia"/>
          <w:sz w:val="32"/>
          <w:szCs w:val="32"/>
        </w:rPr>
        <w:t>水分含量</w:t>
      </w:r>
      <w:r>
        <w:rPr>
          <w:rFonts w:ascii="仿宋_GB2312" w:eastAsia="仿宋_GB2312" w:hAnsi="宋体" w:hint="eastAsia"/>
          <w:sz w:val="32"/>
          <w:szCs w:val="32"/>
        </w:rPr>
        <w:t>在</w:t>
      </w:r>
      <w:r>
        <w:rPr>
          <w:rFonts w:ascii="仿宋_GB2312" w:eastAsia="仿宋_GB2312" w:hAnsi="宋体"/>
          <w:sz w:val="32"/>
          <w:szCs w:val="32"/>
        </w:rPr>
        <w:t>70%左右</w:t>
      </w:r>
      <w:r>
        <w:rPr>
          <w:rFonts w:ascii="仿宋_GB2312" w:eastAsia="仿宋_GB2312" w:hAnsi="宋体" w:hint="eastAsia"/>
          <w:sz w:val="32"/>
          <w:szCs w:val="32"/>
        </w:rPr>
        <w:t>，由此</w:t>
      </w:r>
      <w:r>
        <w:rPr>
          <w:rFonts w:ascii="仿宋_GB2312" w:eastAsia="仿宋_GB2312" w:hAnsi="宋体"/>
          <w:sz w:val="32"/>
          <w:szCs w:val="32"/>
        </w:rPr>
        <w:t>确定</w:t>
      </w:r>
      <w:r>
        <w:rPr>
          <w:rFonts w:ascii="仿宋_GB2312" w:eastAsia="仿宋_GB2312" w:hAnsi="宋体" w:hint="eastAsia"/>
          <w:sz w:val="32"/>
          <w:szCs w:val="32"/>
        </w:rPr>
        <w:t>食用木薯的</w:t>
      </w:r>
      <w:r>
        <w:rPr>
          <w:rFonts w:ascii="仿宋_GB2312" w:eastAsia="仿宋_GB2312" w:hAnsi="宋体" w:hint="eastAsia"/>
          <w:sz w:val="32"/>
          <w:szCs w:val="32"/>
          <w:lang w:val="zh-CN"/>
        </w:rPr>
        <w:t>水分为</w:t>
      </w:r>
      <w:r>
        <w:rPr>
          <w:rFonts w:ascii="仿宋_GB2312" w:eastAsia="仿宋_GB2312" w:hint="eastAsia"/>
          <w:sz w:val="32"/>
          <w:szCs w:val="32"/>
        </w:rPr>
        <w:t>60%～80%</w:t>
      </w:r>
      <w:r>
        <w:rPr>
          <w:rFonts w:ascii="仿宋_GB2312" w:eastAsia="仿宋_GB2312" w:hint="eastAsia"/>
          <w:sz w:val="32"/>
          <w:szCs w:val="32"/>
          <w:lang w:val="zh-CN"/>
        </w:rPr>
        <w:t>。</w:t>
      </w:r>
    </w:p>
    <w:p w:rsidR="00B1503E" w:rsidRDefault="00DF2F5D">
      <w:pPr>
        <w:spacing w:line="560" w:lineRule="exact"/>
        <w:ind w:firstLineChars="200" w:firstLine="643"/>
        <w:rPr>
          <w:rFonts w:ascii="仿宋_GB2312" w:eastAsia="仿宋_GB2312"/>
          <w:sz w:val="32"/>
          <w:szCs w:val="32"/>
        </w:rPr>
      </w:pPr>
      <w:r>
        <w:rPr>
          <w:rFonts w:ascii="仿宋_GB2312" w:eastAsia="仿宋_GB2312" w:hint="eastAsia"/>
          <w:b/>
          <w:sz w:val="32"/>
          <w:szCs w:val="32"/>
        </w:rPr>
        <w:t>干物质</w:t>
      </w:r>
      <w:r>
        <w:rPr>
          <w:rFonts w:ascii="仿宋_GB2312" w:eastAsia="仿宋_GB2312" w:hint="eastAsia"/>
          <w:sz w:val="32"/>
          <w:szCs w:val="32"/>
        </w:rPr>
        <w:t>：木薯块根中干物质含量高，</w:t>
      </w:r>
      <w:r>
        <w:rPr>
          <w:rFonts w:ascii="仿宋_GB2312" w:eastAsia="仿宋_GB2312" w:hint="eastAsia"/>
          <w:sz w:val="32"/>
          <w:szCs w:val="32"/>
          <w:lang w:val="zh-CN"/>
        </w:rPr>
        <w:t>干物质含量检测结果为</w:t>
      </w:r>
      <w:r>
        <w:rPr>
          <w:rFonts w:ascii="仿宋_GB2312" w:eastAsia="仿宋_GB2312"/>
          <w:sz w:val="32"/>
          <w:szCs w:val="32"/>
        </w:rPr>
        <w:t>33</w:t>
      </w:r>
      <w:r>
        <w:rPr>
          <w:rFonts w:ascii="仿宋_GB2312" w:eastAsia="仿宋_GB2312" w:hint="eastAsia"/>
          <w:sz w:val="32"/>
          <w:szCs w:val="32"/>
        </w:rPr>
        <w:t>%～4</w:t>
      </w:r>
      <w:r>
        <w:rPr>
          <w:rFonts w:ascii="仿宋_GB2312" w:eastAsia="仿宋_GB2312"/>
          <w:sz w:val="32"/>
          <w:szCs w:val="32"/>
        </w:rPr>
        <w:t>3</w:t>
      </w:r>
      <w:r>
        <w:rPr>
          <w:rFonts w:ascii="仿宋_GB2312" w:eastAsia="仿宋_GB2312" w:hint="eastAsia"/>
          <w:sz w:val="32"/>
          <w:szCs w:val="32"/>
        </w:rPr>
        <w:t>%</w:t>
      </w:r>
      <w:r>
        <w:rPr>
          <w:rFonts w:ascii="仿宋_GB2312" w:eastAsia="仿宋_GB2312" w:hint="eastAsia"/>
          <w:sz w:val="32"/>
          <w:szCs w:val="32"/>
          <w:lang w:val="zh-CN"/>
        </w:rPr>
        <w:t>，由此</w:t>
      </w:r>
      <w:r>
        <w:rPr>
          <w:rFonts w:ascii="仿宋_GB2312" w:eastAsia="仿宋_GB2312"/>
          <w:sz w:val="32"/>
          <w:szCs w:val="32"/>
          <w:lang w:val="zh-CN"/>
        </w:rPr>
        <w:t>确定其指标范围是</w:t>
      </w:r>
      <w:r>
        <w:rPr>
          <w:rFonts w:ascii="仿宋_GB2312" w:eastAsia="仿宋_GB2312" w:hint="eastAsia"/>
          <w:sz w:val="32"/>
          <w:szCs w:val="32"/>
        </w:rPr>
        <w:t>25%～45%。</w:t>
      </w:r>
    </w:p>
    <w:p w:rsidR="00B1503E" w:rsidRDefault="00DF2F5D">
      <w:pPr>
        <w:spacing w:line="560" w:lineRule="exact"/>
        <w:ind w:firstLineChars="200" w:firstLine="643"/>
        <w:rPr>
          <w:rFonts w:ascii="仿宋_GB2312" w:eastAsia="仿宋_GB2312"/>
          <w:sz w:val="32"/>
          <w:szCs w:val="32"/>
        </w:rPr>
      </w:pPr>
      <w:r>
        <w:rPr>
          <w:rFonts w:ascii="仿宋_GB2312" w:eastAsia="仿宋_GB2312" w:hint="eastAsia"/>
          <w:b/>
          <w:sz w:val="32"/>
          <w:szCs w:val="32"/>
        </w:rPr>
        <w:t>淀粉</w:t>
      </w:r>
      <w:r>
        <w:rPr>
          <w:rFonts w:ascii="仿宋_GB2312" w:eastAsia="仿宋_GB2312"/>
          <w:b/>
          <w:sz w:val="32"/>
          <w:szCs w:val="32"/>
        </w:rPr>
        <w:t>、直链淀粉</w:t>
      </w:r>
      <w:r>
        <w:rPr>
          <w:rFonts w:ascii="仿宋_GB2312" w:eastAsia="仿宋_GB2312"/>
          <w:sz w:val="32"/>
          <w:szCs w:val="32"/>
        </w:rPr>
        <w:t>：</w:t>
      </w:r>
      <w:r>
        <w:rPr>
          <w:rFonts w:ascii="仿宋_GB2312" w:eastAsia="仿宋_GB2312" w:hint="eastAsia"/>
          <w:sz w:val="32"/>
          <w:szCs w:val="32"/>
        </w:rPr>
        <w:t>木薯中的碳水化合物除少量糖外主要为淀粉</w:t>
      </w:r>
      <w:r>
        <w:rPr>
          <w:rFonts w:ascii="仿宋_GB2312" w:eastAsia="仿宋_GB2312"/>
          <w:sz w:val="32"/>
          <w:szCs w:val="32"/>
        </w:rPr>
        <w:t>，</w:t>
      </w:r>
      <w:r>
        <w:rPr>
          <w:rFonts w:ascii="仿宋_GB2312" w:eastAsia="仿宋_GB2312" w:hint="eastAsia"/>
          <w:sz w:val="32"/>
          <w:szCs w:val="32"/>
        </w:rPr>
        <w:t>其中</w:t>
      </w:r>
      <w:r>
        <w:rPr>
          <w:rFonts w:ascii="仿宋_GB2312" w:eastAsia="仿宋_GB2312"/>
          <w:sz w:val="32"/>
          <w:szCs w:val="32"/>
        </w:rPr>
        <w:t>17%～22%</w:t>
      </w:r>
      <w:r>
        <w:rPr>
          <w:rFonts w:ascii="仿宋_GB2312" w:eastAsia="仿宋_GB2312" w:hint="eastAsia"/>
          <w:sz w:val="32"/>
          <w:szCs w:val="32"/>
        </w:rPr>
        <w:t>是直链淀粉</w:t>
      </w:r>
      <w:r>
        <w:rPr>
          <w:rFonts w:ascii="仿宋_GB2312" w:eastAsia="仿宋_GB2312"/>
          <w:sz w:val="32"/>
          <w:szCs w:val="32"/>
        </w:rPr>
        <w:t>，78%～83%</w:t>
      </w:r>
      <w:r>
        <w:rPr>
          <w:rFonts w:ascii="仿宋_GB2312" w:eastAsia="仿宋_GB2312" w:hint="eastAsia"/>
          <w:sz w:val="32"/>
          <w:szCs w:val="32"/>
        </w:rPr>
        <w:t>是支链淀粉，在提供饱腹感的同时又不产生能量</w:t>
      </w:r>
      <w:r>
        <w:rPr>
          <w:rFonts w:ascii="仿宋_GB2312" w:eastAsia="仿宋_GB2312"/>
          <w:sz w:val="32"/>
          <w:szCs w:val="32"/>
        </w:rPr>
        <w:t>，</w:t>
      </w:r>
      <w:r>
        <w:rPr>
          <w:rFonts w:ascii="仿宋_GB2312" w:eastAsia="仿宋_GB2312" w:hint="eastAsia"/>
          <w:sz w:val="32"/>
          <w:szCs w:val="32"/>
        </w:rPr>
        <w:t>有助于肥胖人群的体重控制和高血糖人群的血糖平衡</w:t>
      </w:r>
      <w:r>
        <w:rPr>
          <w:rFonts w:ascii="仿宋_GB2312" w:eastAsia="仿宋_GB2312"/>
          <w:sz w:val="32"/>
          <w:szCs w:val="32"/>
        </w:rPr>
        <w:t>。</w:t>
      </w:r>
      <w:r w:rsidRPr="00BB01EB">
        <w:rPr>
          <w:rFonts w:ascii="仿宋_GB2312" w:eastAsia="仿宋_GB2312" w:hint="eastAsia"/>
          <w:sz w:val="32"/>
          <w:szCs w:val="32"/>
          <w:lang w:val="zh-CN"/>
        </w:rPr>
        <w:t>淀粉</w:t>
      </w:r>
      <w:r>
        <w:rPr>
          <w:rFonts w:ascii="仿宋_GB2312" w:eastAsia="仿宋_GB2312" w:hint="eastAsia"/>
          <w:sz w:val="32"/>
          <w:szCs w:val="32"/>
          <w:lang w:val="zh-CN"/>
        </w:rPr>
        <w:t>检测结果为</w:t>
      </w:r>
      <w:r w:rsidR="00BB01EB">
        <w:rPr>
          <w:rFonts w:ascii="仿宋_GB2312" w:eastAsia="仿宋_GB2312"/>
          <w:sz w:val="32"/>
          <w:szCs w:val="32"/>
        </w:rPr>
        <w:t>60</w:t>
      </w:r>
      <w:r>
        <w:rPr>
          <w:rFonts w:ascii="仿宋_GB2312" w:eastAsia="仿宋_GB2312" w:hint="eastAsia"/>
          <w:sz w:val="32"/>
          <w:szCs w:val="32"/>
        </w:rPr>
        <w:t>%</w:t>
      </w:r>
      <w:r w:rsidR="00BB01EB" w:rsidRPr="00BB01EB">
        <w:rPr>
          <w:rFonts w:ascii="仿宋_GB2312" w:eastAsia="仿宋_GB2312" w:hint="eastAsia"/>
          <w:sz w:val="32"/>
          <w:szCs w:val="32"/>
        </w:rPr>
        <w:t>～</w:t>
      </w:r>
      <w:r w:rsidR="00BB01EB">
        <w:rPr>
          <w:rFonts w:ascii="仿宋_GB2312" w:eastAsia="仿宋_GB2312"/>
          <w:sz w:val="32"/>
          <w:szCs w:val="32"/>
        </w:rPr>
        <w:t>92</w:t>
      </w:r>
      <w:r w:rsidR="00BB01EB" w:rsidRPr="00BB01EB">
        <w:rPr>
          <w:rFonts w:ascii="仿宋_GB2312" w:eastAsia="仿宋_GB2312" w:hint="eastAsia"/>
          <w:sz w:val="32"/>
          <w:szCs w:val="32"/>
        </w:rPr>
        <w:t>%</w:t>
      </w:r>
      <w:r>
        <w:rPr>
          <w:rFonts w:ascii="仿宋_GB2312" w:eastAsia="仿宋_GB2312" w:hint="eastAsia"/>
          <w:sz w:val="32"/>
          <w:szCs w:val="32"/>
        </w:rPr>
        <w:t>左右</w:t>
      </w:r>
      <w:r>
        <w:rPr>
          <w:rFonts w:ascii="仿宋_GB2312" w:eastAsia="仿宋_GB2312" w:hint="eastAsia"/>
          <w:sz w:val="32"/>
          <w:szCs w:val="32"/>
          <w:lang w:val="zh-CN"/>
        </w:rPr>
        <w:t>，由此</w:t>
      </w:r>
      <w:r>
        <w:rPr>
          <w:rFonts w:ascii="仿宋_GB2312" w:eastAsia="仿宋_GB2312"/>
          <w:sz w:val="32"/>
          <w:szCs w:val="32"/>
          <w:lang w:val="zh-CN"/>
        </w:rPr>
        <w:t>确定其指标范围是</w:t>
      </w:r>
      <w:r w:rsidR="00F9381B" w:rsidRPr="00F9381B">
        <w:rPr>
          <w:rFonts w:ascii="仿宋_GB2312" w:eastAsia="仿宋_GB2312"/>
          <w:sz w:val="32"/>
          <w:szCs w:val="32"/>
        </w:rPr>
        <w:t>60</w:t>
      </w:r>
      <w:r w:rsidRPr="00F9381B">
        <w:rPr>
          <w:rFonts w:ascii="仿宋_GB2312" w:eastAsia="仿宋_GB2312" w:hint="eastAsia"/>
          <w:sz w:val="32"/>
          <w:szCs w:val="32"/>
        </w:rPr>
        <w:t>%～</w:t>
      </w:r>
      <w:r w:rsidR="00F9381B" w:rsidRPr="00F9381B">
        <w:rPr>
          <w:rFonts w:ascii="仿宋_GB2312" w:eastAsia="仿宋_GB2312"/>
          <w:sz w:val="32"/>
          <w:szCs w:val="32"/>
        </w:rPr>
        <w:t>95</w:t>
      </w:r>
      <w:r w:rsidRPr="00F9381B">
        <w:rPr>
          <w:rFonts w:ascii="仿宋_GB2312" w:eastAsia="仿宋_GB2312" w:hint="eastAsia"/>
          <w:sz w:val="32"/>
          <w:szCs w:val="32"/>
        </w:rPr>
        <w:t>%</w:t>
      </w:r>
      <w:r>
        <w:rPr>
          <w:rFonts w:ascii="仿宋_GB2312" w:eastAsia="仿宋_GB2312" w:hint="eastAsia"/>
          <w:sz w:val="32"/>
          <w:szCs w:val="32"/>
          <w:lang w:val="zh-CN"/>
        </w:rPr>
        <w:t>。直链淀粉检测结果为</w:t>
      </w:r>
      <w:r>
        <w:rPr>
          <w:rFonts w:ascii="仿宋_GB2312" w:eastAsia="仿宋_GB2312"/>
          <w:sz w:val="32"/>
          <w:szCs w:val="32"/>
        </w:rPr>
        <w:t>6.6</w:t>
      </w:r>
      <w:r>
        <w:rPr>
          <w:rFonts w:ascii="仿宋_GB2312" w:eastAsia="仿宋_GB2312" w:hint="eastAsia"/>
          <w:sz w:val="32"/>
          <w:szCs w:val="32"/>
        </w:rPr>
        <w:t>%～</w:t>
      </w:r>
      <w:r>
        <w:rPr>
          <w:rFonts w:ascii="仿宋_GB2312" w:eastAsia="仿宋_GB2312"/>
          <w:sz w:val="32"/>
          <w:szCs w:val="32"/>
        </w:rPr>
        <w:t>10</w:t>
      </w:r>
      <w:r>
        <w:rPr>
          <w:rFonts w:ascii="仿宋_GB2312" w:eastAsia="仿宋_GB2312" w:hint="eastAsia"/>
          <w:sz w:val="32"/>
          <w:szCs w:val="32"/>
        </w:rPr>
        <w:t>%</w:t>
      </w:r>
      <w:r>
        <w:rPr>
          <w:rFonts w:ascii="仿宋_GB2312" w:eastAsia="仿宋_GB2312" w:hint="eastAsia"/>
          <w:sz w:val="32"/>
          <w:szCs w:val="32"/>
          <w:lang w:val="zh-CN"/>
        </w:rPr>
        <w:t>，由此</w:t>
      </w:r>
      <w:r>
        <w:rPr>
          <w:rFonts w:ascii="仿宋_GB2312" w:eastAsia="仿宋_GB2312"/>
          <w:sz w:val="32"/>
          <w:szCs w:val="32"/>
          <w:lang w:val="zh-CN"/>
        </w:rPr>
        <w:t>确定其指标范围是</w:t>
      </w:r>
      <w:r>
        <w:rPr>
          <w:rFonts w:ascii="仿宋_GB2312" w:eastAsia="仿宋_GB2312" w:hint="eastAsia"/>
          <w:sz w:val="32"/>
          <w:szCs w:val="32"/>
        </w:rPr>
        <w:t>2.0%～10.0%。</w:t>
      </w:r>
    </w:p>
    <w:p w:rsidR="00B1503E" w:rsidRDefault="00DF2F5D">
      <w:pPr>
        <w:spacing w:line="560" w:lineRule="exact"/>
        <w:ind w:firstLineChars="200" w:firstLine="643"/>
        <w:rPr>
          <w:rFonts w:ascii="仿宋_GB2312" w:eastAsia="仿宋_GB2312"/>
          <w:sz w:val="32"/>
          <w:szCs w:val="32"/>
          <w:lang w:val="zh-CN"/>
        </w:rPr>
      </w:pPr>
      <w:r>
        <w:rPr>
          <w:rFonts w:ascii="仿宋_GB2312" w:eastAsia="仿宋_GB2312" w:hint="eastAsia"/>
          <w:b/>
          <w:sz w:val="32"/>
          <w:szCs w:val="32"/>
        </w:rPr>
        <w:t>可溶性糖</w:t>
      </w:r>
      <w:r>
        <w:rPr>
          <w:rFonts w:ascii="仿宋_GB2312" w:eastAsia="仿宋_GB2312"/>
          <w:sz w:val="32"/>
          <w:szCs w:val="32"/>
        </w:rPr>
        <w:t>：</w:t>
      </w:r>
      <w:r>
        <w:rPr>
          <w:rFonts w:ascii="仿宋_GB2312" w:eastAsia="仿宋_GB2312" w:hint="eastAsia"/>
          <w:sz w:val="32"/>
          <w:szCs w:val="32"/>
        </w:rPr>
        <w:t>12种</w:t>
      </w:r>
      <w:r>
        <w:rPr>
          <w:rFonts w:ascii="仿宋_GB2312" w:eastAsia="仿宋_GB2312"/>
          <w:sz w:val="32"/>
          <w:szCs w:val="32"/>
        </w:rPr>
        <w:t>木薯</w:t>
      </w:r>
      <w:r>
        <w:rPr>
          <w:rFonts w:ascii="仿宋_GB2312" w:eastAsia="仿宋_GB2312" w:hint="eastAsia"/>
          <w:sz w:val="32"/>
          <w:szCs w:val="32"/>
        </w:rPr>
        <w:t>的</w:t>
      </w:r>
      <w:r>
        <w:rPr>
          <w:rFonts w:ascii="仿宋_GB2312" w:eastAsia="仿宋_GB2312"/>
          <w:sz w:val="32"/>
          <w:szCs w:val="32"/>
        </w:rPr>
        <w:t>可溶性糖检测结果为</w:t>
      </w:r>
      <w:r>
        <w:rPr>
          <w:rFonts w:ascii="仿宋_GB2312" w:eastAsia="仿宋_GB2312" w:hint="eastAsia"/>
          <w:sz w:val="32"/>
          <w:szCs w:val="32"/>
        </w:rPr>
        <w:t>1.</w:t>
      </w:r>
      <w:r>
        <w:rPr>
          <w:rFonts w:ascii="仿宋_GB2312" w:eastAsia="仿宋_GB2312"/>
          <w:sz w:val="32"/>
          <w:szCs w:val="32"/>
        </w:rPr>
        <w:t>9</w:t>
      </w:r>
      <w:r>
        <w:rPr>
          <w:rFonts w:ascii="仿宋_GB2312" w:eastAsia="仿宋_GB2312" w:hint="eastAsia"/>
          <w:sz w:val="32"/>
          <w:szCs w:val="32"/>
        </w:rPr>
        <w:t>%～</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%，食用型木薯偏甜，优质</w:t>
      </w:r>
      <w:r>
        <w:rPr>
          <w:rFonts w:ascii="仿宋_GB2312" w:eastAsia="仿宋_GB2312"/>
          <w:sz w:val="32"/>
          <w:szCs w:val="32"/>
        </w:rPr>
        <w:t>食用木薯的可溶性糖含量较高，因此</w:t>
      </w:r>
      <w:r>
        <w:rPr>
          <w:rFonts w:ascii="仿宋_GB2312" w:eastAsia="仿宋_GB2312" w:hint="eastAsia"/>
          <w:sz w:val="32"/>
          <w:szCs w:val="32"/>
          <w:lang w:val="zh-CN"/>
        </w:rPr>
        <w:t>可溶性糖指标定为</w:t>
      </w:r>
      <w:r>
        <w:rPr>
          <w:rFonts w:ascii="仿宋_GB2312" w:eastAsia="仿宋_GB2312" w:hint="eastAsia"/>
          <w:sz w:val="32"/>
          <w:szCs w:val="32"/>
        </w:rPr>
        <w:t>1.0%～8.0%</w:t>
      </w:r>
      <w:r>
        <w:rPr>
          <w:rFonts w:ascii="仿宋_GB2312" w:eastAsia="仿宋_GB2312" w:hint="eastAsia"/>
          <w:sz w:val="32"/>
          <w:szCs w:val="32"/>
          <w:lang w:val="zh-CN"/>
        </w:rPr>
        <w:t>。</w:t>
      </w:r>
    </w:p>
    <w:p w:rsidR="00B1503E" w:rsidRDefault="00DF2F5D">
      <w:pPr>
        <w:spacing w:line="560" w:lineRule="exact"/>
        <w:ind w:firstLineChars="200" w:firstLine="643"/>
        <w:rPr>
          <w:rFonts w:ascii="仿宋_GB2312" w:eastAsia="仿宋_GB2312"/>
          <w:sz w:val="32"/>
          <w:szCs w:val="32"/>
          <w:lang w:val="zh-CN"/>
        </w:rPr>
      </w:pPr>
      <w:r>
        <w:rPr>
          <w:rFonts w:ascii="仿宋_GB2312" w:eastAsia="仿宋_GB2312" w:hint="eastAsia"/>
          <w:b/>
          <w:sz w:val="32"/>
          <w:szCs w:val="32"/>
        </w:rPr>
        <w:t>蛋白质</w:t>
      </w:r>
      <w:r>
        <w:rPr>
          <w:rFonts w:ascii="仿宋_GB2312" w:eastAsia="仿宋_GB2312"/>
          <w:sz w:val="32"/>
          <w:szCs w:val="32"/>
        </w:rPr>
        <w:t>：</w:t>
      </w:r>
      <w:r>
        <w:rPr>
          <w:rFonts w:ascii="仿宋_GB2312" w:eastAsia="仿宋_GB2312" w:hint="eastAsia"/>
          <w:sz w:val="32"/>
          <w:szCs w:val="32"/>
          <w:lang w:val="zh-CN"/>
        </w:rPr>
        <w:t>蛋白质的</w:t>
      </w:r>
      <w:r>
        <w:rPr>
          <w:rFonts w:ascii="仿宋_GB2312" w:eastAsia="仿宋_GB2312"/>
          <w:sz w:val="32"/>
          <w:szCs w:val="32"/>
          <w:lang w:val="zh-CN"/>
        </w:rPr>
        <w:t>检测结果为</w:t>
      </w:r>
      <w:r>
        <w:rPr>
          <w:rFonts w:ascii="仿宋_GB2312" w:eastAsia="仿宋_GB2312" w:hint="eastAsia"/>
          <w:sz w:val="32"/>
          <w:szCs w:val="32"/>
        </w:rPr>
        <w:t>1.4%～</w:t>
      </w:r>
      <w:r>
        <w:rPr>
          <w:rFonts w:ascii="仿宋_GB2312" w:eastAsia="仿宋_GB2312"/>
          <w:sz w:val="32"/>
          <w:szCs w:val="32"/>
        </w:rPr>
        <w:t>4.3</w:t>
      </w:r>
      <w:r>
        <w:rPr>
          <w:rFonts w:ascii="仿宋_GB2312" w:eastAsia="仿宋_GB2312" w:hint="eastAsia"/>
          <w:sz w:val="32"/>
          <w:szCs w:val="32"/>
        </w:rPr>
        <w:t>%</w:t>
      </w:r>
      <w:r>
        <w:rPr>
          <w:rFonts w:ascii="仿宋_GB2312" w:eastAsia="仿宋_GB2312" w:hint="eastAsia"/>
          <w:sz w:val="32"/>
          <w:szCs w:val="32"/>
          <w:lang w:val="zh-CN"/>
        </w:rPr>
        <w:t>，部分</w:t>
      </w:r>
      <w:r>
        <w:rPr>
          <w:rFonts w:ascii="仿宋_GB2312" w:eastAsia="仿宋_GB2312" w:hint="eastAsia"/>
          <w:sz w:val="32"/>
          <w:szCs w:val="32"/>
        </w:rPr>
        <w:t>木薯块根中的蛋白质含量较低,</w:t>
      </w:r>
      <w:r>
        <w:rPr>
          <w:rFonts w:ascii="仿宋_GB2312" w:eastAsia="仿宋_GB2312" w:hint="eastAsia"/>
          <w:sz w:val="32"/>
          <w:szCs w:val="32"/>
          <w:lang w:val="zh-CN"/>
        </w:rPr>
        <w:t>因此</w:t>
      </w:r>
      <w:r>
        <w:rPr>
          <w:rFonts w:ascii="仿宋_GB2312" w:eastAsia="仿宋_GB2312"/>
          <w:sz w:val="32"/>
          <w:szCs w:val="32"/>
          <w:lang w:val="zh-CN"/>
        </w:rPr>
        <w:t>确定其指标范围是</w:t>
      </w:r>
      <w:r>
        <w:rPr>
          <w:rFonts w:ascii="仿宋_GB2312" w:eastAsia="仿宋_GB2312" w:hint="eastAsia"/>
          <w:sz w:val="32"/>
          <w:szCs w:val="32"/>
        </w:rPr>
        <w:t>0.5%～</w:t>
      </w:r>
      <w:r>
        <w:rPr>
          <w:rFonts w:ascii="仿宋_GB2312" w:eastAsia="仿宋_GB2312"/>
          <w:sz w:val="32"/>
          <w:szCs w:val="32"/>
        </w:rPr>
        <w:t>5.0</w:t>
      </w:r>
      <w:r>
        <w:rPr>
          <w:rFonts w:ascii="仿宋_GB2312" w:eastAsia="仿宋_GB2312" w:hint="eastAsia"/>
          <w:sz w:val="32"/>
          <w:szCs w:val="32"/>
        </w:rPr>
        <w:t>%</w:t>
      </w:r>
      <w:r>
        <w:rPr>
          <w:rFonts w:ascii="仿宋_GB2312" w:eastAsia="仿宋_GB2312" w:hint="eastAsia"/>
          <w:sz w:val="32"/>
          <w:szCs w:val="32"/>
          <w:lang w:val="zh-CN"/>
        </w:rPr>
        <w:t>。</w:t>
      </w:r>
    </w:p>
    <w:p w:rsidR="00B1503E" w:rsidRDefault="00927C4E">
      <w:pPr>
        <w:spacing w:line="560" w:lineRule="exact"/>
        <w:ind w:firstLineChars="200" w:firstLine="643"/>
        <w:rPr>
          <w:rFonts w:ascii="仿宋_GB2312" w:eastAsia="仿宋_GB2312"/>
          <w:sz w:val="32"/>
          <w:szCs w:val="32"/>
        </w:rPr>
      </w:pPr>
      <w:r>
        <w:rPr>
          <w:rFonts w:ascii="仿宋_GB2312" w:eastAsia="仿宋_GB2312" w:hAnsi="宋体"/>
          <w:b/>
          <w:noProof/>
          <w:sz w:val="32"/>
          <w:szCs w:val="32"/>
        </w:rPr>
        <w:lastRenderedPageBreak/>
        <w:drawing>
          <wp:anchor distT="0" distB="0" distL="114300" distR="114300" simplePos="0" relativeHeight="251663360" behindDoc="0" locked="0" layoutInCell="1" allowOverlap="1">
            <wp:simplePos x="0" y="0"/>
            <wp:positionH relativeFrom="column">
              <wp:posOffset>3810</wp:posOffset>
            </wp:positionH>
            <wp:positionV relativeFrom="page">
              <wp:posOffset>1777365</wp:posOffset>
            </wp:positionV>
            <wp:extent cx="5782310" cy="4140200"/>
            <wp:effectExtent l="0" t="0" r="8890" b="0"/>
            <wp:wrapTopAndBottom/>
            <wp:docPr id="5" name="图片 5" descr="C:\Users\ADMINI~1\AppData\Local\Temp\WeChat Files\475c27d7d0528d71cd295de91b6a4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475c27d7d0528d71cd295de91b6a46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82310" cy="4140200"/>
                    </a:xfrm>
                    <a:prstGeom prst="rect">
                      <a:avLst/>
                    </a:prstGeom>
                    <a:noFill/>
                    <a:ln>
                      <a:noFill/>
                    </a:ln>
                  </pic:spPr>
                </pic:pic>
              </a:graphicData>
            </a:graphic>
            <wp14:sizeRelV relativeFrom="margin">
              <wp14:pctHeight>0</wp14:pctHeight>
            </wp14:sizeRelV>
          </wp:anchor>
        </w:drawing>
      </w:r>
      <w:r w:rsidR="00990039">
        <w:rPr>
          <w:rFonts w:ascii="仿宋_GB2312" w:eastAsia="仿宋_GB2312" w:hint="eastAsia"/>
          <w:b/>
          <w:sz w:val="32"/>
          <w:szCs w:val="32"/>
          <w:lang w:val="zh-CN"/>
        </w:rPr>
        <w:t>粗</w:t>
      </w:r>
      <w:r w:rsidR="00DF2F5D">
        <w:rPr>
          <w:rFonts w:ascii="仿宋_GB2312" w:eastAsia="仿宋_GB2312" w:hint="eastAsia"/>
          <w:b/>
          <w:sz w:val="32"/>
          <w:szCs w:val="32"/>
          <w:lang w:val="zh-CN"/>
        </w:rPr>
        <w:t>纤维</w:t>
      </w:r>
      <w:r w:rsidR="00DF2F5D">
        <w:rPr>
          <w:rFonts w:ascii="仿宋_GB2312" w:eastAsia="仿宋_GB2312" w:hint="eastAsia"/>
          <w:sz w:val="32"/>
          <w:szCs w:val="32"/>
          <w:lang w:val="zh-CN"/>
        </w:rPr>
        <w:t>：</w:t>
      </w:r>
      <w:r w:rsidR="00DF2F5D">
        <w:rPr>
          <w:rFonts w:ascii="仿宋_GB2312" w:eastAsia="仿宋_GB2312"/>
          <w:sz w:val="32"/>
          <w:szCs w:val="32"/>
          <w:lang w:val="zh-CN"/>
        </w:rPr>
        <w:t>检测结果为</w:t>
      </w:r>
      <w:r w:rsidR="00DF2F5D">
        <w:rPr>
          <w:rFonts w:ascii="仿宋_GB2312" w:eastAsia="仿宋_GB2312"/>
          <w:sz w:val="32"/>
          <w:szCs w:val="32"/>
        </w:rPr>
        <w:t>1.4</w:t>
      </w:r>
      <w:r w:rsidR="00DF2F5D">
        <w:rPr>
          <w:rFonts w:ascii="仿宋_GB2312" w:eastAsia="仿宋_GB2312" w:hint="eastAsia"/>
          <w:sz w:val="32"/>
          <w:szCs w:val="32"/>
        </w:rPr>
        <w:t>%～3.3%</w:t>
      </w:r>
      <w:r w:rsidR="00DF2F5D">
        <w:rPr>
          <w:rFonts w:ascii="仿宋_GB2312" w:eastAsia="仿宋_GB2312" w:hint="eastAsia"/>
          <w:sz w:val="32"/>
          <w:szCs w:val="32"/>
          <w:lang w:val="zh-CN"/>
        </w:rPr>
        <w:t>，其</w:t>
      </w:r>
      <w:r w:rsidR="00DF2F5D">
        <w:rPr>
          <w:rFonts w:ascii="仿宋_GB2312" w:eastAsia="仿宋_GB2312"/>
          <w:sz w:val="32"/>
          <w:szCs w:val="32"/>
          <w:lang w:val="zh-CN"/>
        </w:rPr>
        <w:t>含量</w:t>
      </w:r>
      <w:r w:rsidR="00DF2F5D">
        <w:rPr>
          <w:rFonts w:ascii="仿宋_GB2312" w:eastAsia="仿宋_GB2312" w:hint="eastAsia"/>
          <w:sz w:val="32"/>
          <w:szCs w:val="32"/>
        </w:rPr>
        <w:t>因木薯品种和生长期不同而不同，</w:t>
      </w:r>
      <w:r w:rsidR="00DF2F5D">
        <w:rPr>
          <w:rFonts w:ascii="仿宋_GB2312" w:eastAsia="仿宋_GB2312" w:hint="eastAsia"/>
          <w:sz w:val="32"/>
          <w:szCs w:val="32"/>
          <w:lang w:val="zh-CN"/>
        </w:rPr>
        <w:t>由此</w:t>
      </w:r>
      <w:r w:rsidR="00DF2F5D">
        <w:rPr>
          <w:rFonts w:ascii="仿宋_GB2312" w:eastAsia="仿宋_GB2312"/>
          <w:sz w:val="32"/>
          <w:szCs w:val="32"/>
          <w:lang w:val="zh-CN"/>
        </w:rPr>
        <w:t>确定其</w:t>
      </w:r>
      <w:r w:rsidR="00DF2F5D">
        <w:rPr>
          <w:rFonts w:ascii="仿宋_GB2312" w:eastAsia="仿宋_GB2312" w:hint="eastAsia"/>
          <w:sz w:val="32"/>
          <w:szCs w:val="32"/>
          <w:lang w:val="zh-CN"/>
        </w:rPr>
        <w:t>指标</w:t>
      </w:r>
      <w:r w:rsidR="00DF2F5D">
        <w:rPr>
          <w:rFonts w:ascii="仿宋_GB2312" w:eastAsia="仿宋_GB2312"/>
          <w:sz w:val="32"/>
          <w:szCs w:val="32"/>
          <w:lang w:val="zh-CN"/>
        </w:rPr>
        <w:t>为</w:t>
      </w:r>
      <w:r w:rsidR="00DF2F5D">
        <w:rPr>
          <w:rFonts w:ascii="仿宋_GB2312" w:eastAsia="仿宋_GB2312" w:hint="eastAsia"/>
          <w:sz w:val="32"/>
          <w:szCs w:val="32"/>
        </w:rPr>
        <w:t>0.1%～3.7%。</w:t>
      </w:r>
      <w:bookmarkStart w:id="1" w:name="_GoBack"/>
      <w:bookmarkEnd w:id="1"/>
    </w:p>
    <w:p w:rsidR="00B1503E" w:rsidRDefault="00DF2F5D">
      <w:pPr>
        <w:spacing w:line="560" w:lineRule="exact"/>
        <w:ind w:firstLineChars="200" w:firstLine="643"/>
        <w:rPr>
          <w:rFonts w:ascii="仿宋_GB2312" w:eastAsia="仿宋_GB2312"/>
          <w:sz w:val="32"/>
          <w:szCs w:val="32"/>
        </w:rPr>
      </w:pPr>
      <w:r>
        <w:rPr>
          <w:rFonts w:ascii="仿宋_GB2312" w:eastAsia="仿宋_GB2312"/>
          <w:b/>
          <w:sz w:val="32"/>
          <w:szCs w:val="32"/>
        </w:rPr>
        <w:t>β</w:t>
      </w:r>
      <w:r>
        <w:rPr>
          <w:rFonts w:ascii="仿宋_GB2312" w:eastAsia="仿宋_GB2312"/>
          <w:b/>
          <w:sz w:val="32"/>
          <w:szCs w:val="32"/>
        </w:rPr>
        <w:t>-</w:t>
      </w:r>
      <w:r>
        <w:rPr>
          <w:rFonts w:ascii="仿宋_GB2312" w:eastAsia="仿宋_GB2312" w:hint="eastAsia"/>
          <w:b/>
          <w:sz w:val="32"/>
          <w:szCs w:val="32"/>
        </w:rPr>
        <w:t>胡萝卜素</w:t>
      </w:r>
      <w:r>
        <w:rPr>
          <w:rFonts w:ascii="仿宋_GB2312" w:eastAsia="仿宋_GB2312"/>
          <w:b/>
          <w:sz w:val="32"/>
          <w:szCs w:val="32"/>
        </w:rPr>
        <w:t>、</w:t>
      </w:r>
      <w:r>
        <w:rPr>
          <w:rFonts w:ascii="仿宋_GB2312" w:eastAsia="仿宋_GB2312" w:hint="eastAsia"/>
          <w:b/>
          <w:sz w:val="32"/>
          <w:szCs w:val="32"/>
        </w:rPr>
        <w:t>维生素</w:t>
      </w:r>
      <w:r>
        <w:rPr>
          <w:rFonts w:ascii="仿宋_GB2312" w:eastAsia="仿宋_GB2312"/>
          <w:b/>
          <w:sz w:val="32"/>
          <w:szCs w:val="32"/>
        </w:rPr>
        <w:t>C</w:t>
      </w:r>
      <w:r>
        <w:rPr>
          <w:rFonts w:ascii="仿宋_GB2312" w:eastAsia="仿宋_GB2312" w:hint="eastAsia"/>
          <w:sz w:val="32"/>
          <w:szCs w:val="32"/>
        </w:rPr>
        <w:t>：木薯块根中</w:t>
      </w:r>
      <w:r>
        <w:rPr>
          <w:rFonts w:ascii="仿宋_GB2312" w:eastAsia="仿宋_GB2312"/>
          <w:sz w:val="32"/>
          <w:szCs w:val="32"/>
        </w:rPr>
        <w:t>β</w:t>
      </w:r>
      <w:r>
        <w:rPr>
          <w:rFonts w:ascii="仿宋_GB2312" w:eastAsia="仿宋_GB2312"/>
          <w:sz w:val="32"/>
          <w:szCs w:val="32"/>
        </w:rPr>
        <w:t>-</w:t>
      </w:r>
      <w:r>
        <w:rPr>
          <w:rFonts w:ascii="仿宋_GB2312" w:eastAsia="仿宋_GB2312" w:hint="eastAsia"/>
          <w:sz w:val="32"/>
          <w:szCs w:val="32"/>
        </w:rPr>
        <w:t>胡萝卜素</w:t>
      </w:r>
      <w:r>
        <w:rPr>
          <w:rFonts w:ascii="仿宋_GB2312" w:eastAsia="仿宋_GB2312"/>
          <w:sz w:val="32"/>
          <w:szCs w:val="32"/>
        </w:rPr>
        <w:t>、</w:t>
      </w:r>
      <w:r>
        <w:rPr>
          <w:rFonts w:ascii="仿宋_GB2312" w:eastAsia="仿宋_GB2312" w:hint="eastAsia"/>
          <w:sz w:val="32"/>
          <w:szCs w:val="32"/>
        </w:rPr>
        <w:t>维生素</w:t>
      </w:r>
      <w:r>
        <w:rPr>
          <w:rFonts w:ascii="仿宋_GB2312" w:eastAsia="仿宋_GB2312"/>
          <w:sz w:val="32"/>
          <w:szCs w:val="32"/>
        </w:rPr>
        <w:t>C</w:t>
      </w:r>
      <w:r>
        <w:rPr>
          <w:rFonts w:ascii="仿宋_GB2312" w:eastAsia="仿宋_GB2312" w:hint="eastAsia"/>
          <w:sz w:val="32"/>
          <w:szCs w:val="32"/>
        </w:rPr>
        <w:t>水平在三大薯类中都比较高</w:t>
      </w:r>
      <w:r>
        <w:rPr>
          <w:rFonts w:ascii="仿宋_GB2312" w:eastAsia="仿宋_GB2312"/>
          <w:sz w:val="32"/>
          <w:szCs w:val="32"/>
        </w:rPr>
        <w:t>，</w:t>
      </w:r>
      <w:r>
        <w:rPr>
          <w:rFonts w:ascii="仿宋_GB2312" w:eastAsia="仿宋_GB2312" w:hint="eastAsia"/>
          <w:sz w:val="32"/>
          <w:szCs w:val="32"/>
          <w:lang w:val="zh-CN"/>
        </w:rPr>
        <w:t>维生素C</w:t>
      </w:r>
      <w:r>
        <w:rPr>
          <w:rFonts w:ascii="仿宋_GB2312" w:eastAsia="仿宋_GB2312" w:hint="eastAsia"/>
          <w:sz w:val="32"/>
          <w:szCs w:val="32"/>
        </w:rPr>
        <w:t>检测结果为20</w:t>
      </w:r>
      <w:r>
        <w:rPr>
          <w:rFonts w:ascii="仿宋_GB2312" w:eastAsia="仿宋_GB2312" w:hint="eastAsia"/>
          <w:sz w:val="32"/>
          <w:szCs w:val="32"/>
          <w:vertAlign w:val="superscript"/>
          <w:lang w:val="zh-CN"/>
        </w:rPr>
        <w:t xml:space="preserve"> </w:t>
      </w:r>
      <w:r>
        <w:rPr>
          <w:rFonts w:ascii="仿宋_GB2312" w:eastAsia="仿宋_GB2312" w:hint="eastAsia"/>
          <w:sz w:val="32"/>
          <w:szCs w:val="32"/>
          <w:lang w:val="zh-CN"/>
        </w:rPr>
        <w:t>mg/100g</w:t>
      </w:r>
      <w:r>
        <w:rPr>
          <w:rFonts w:ascii="仿宋_GB2312" w:eastAsia="仿宋_GB2312" w:hint="eastAsia"/>
          <w:sz w:val="32"/>
          <w:szCs w:val="32"/>
        </w:rPr>
        <w:t>左右，由此</w:t>
      </w:r>
      <w:r>
        <w:rPr>
          <w:rFonts w:ascii="仿宋_GB2312" w:eastAsia="仿宋_GB2312"/>
          <w:sz w:val="32"/>
          <w:szCs w:val="32"/>
        </w:rPr>
        <w:t>确定其指标范围</w:t>
      </w:r>
      <w:r>
        <w:rPr>
          <w:rFonts w:ascii="仿宋_GB2312" w:eastAsia="仿宋_GB2312" w:hint="eastAsia"/>
          <w:sz w:val="32"/>
          <w:szCs w:val="32"/>
          <w:lang w:val="zh-CN"/>
        </w:rPr>
        <w:t>为</w:t>
      </w:r>
      <w:r>
        <w:rPr>
          <w:rFonts w:ascii="仿宋_GB2312" w:eastAsia="仿宋_GB2312" w:hint="eastAsia"/>
          <w:sz w:val="32"/>
          <w:szCs w:val="32"/>
        </w:rPr>
        <w:t>15</w:t>
      </w:r>
      <w:r>
        <w:rPr>
          <w:rFonts w:ascii="仿宋_GB2312" w:eastAsia="仿宋_GB2312" w:hint="eastAsia"/>
          <w:sz w:val="32"/>
          <w:szCs w:val="32"/>
          <w:lang w:val="zh-CN"/>
        </w:rPr>
        <w:t xml:space="preserve"> mg/100g</w:t>
      </w:r>
      <w:r>
        <w:rPr>
          <w:rFonts w:ascii="仿宋_GB2312" w:eastAsia="仿宋_GB2312" w:hint="eastAsia"/>
          <w:sz w:val="32"/>
          <w:szCs w:val="32"/>
        </w:rPr>
        <w:t xml:space="preserve">～50 </w:t>
      </w:r>
      <w:r>
        <w:rPr>
          <w:rFonts w:ascii="仿宋_GB2312" w:eastAsia="仿宋_GB2312" w:hint="eastAsia"/>
          <w:sz w:val="32"/>
          <w:szCs w:val="32"/>
          <w:lang w:val="zh-CN"/>
        </w:rPr>
        <w:t>mg/100g。</w:t>
      </w:r>
      <w:r>
        <w:rPr>
          <w:rFonts w:ascii="仿宋_GB2312" w:eastAsia="仿宋_GB2312" w:hint="eastAsia"/>
          <w:sz w:val="32"/>
          <w:szCs w:val="32"/>
        </w:rPr>
        <w:t>不同木薯种质间块根的β-胡萝卜素差异较大，β-胡萝卜素检测结果为</w:t>
      </w:r>
      <w:r>
        <w:rPr>
          <w:rFonts w:ascii="仿宋_GB2312" w:eastAsia="仿宋_GB2312"/>
          <w:sz w:val="32"/>
          <w:szCs w:val="32"/>
        </w:rPr>
        <w:t>111</w:t>
      </w:r>
      <w:r>
        <w:rPr>
          <w:rFonts w:ascii="仿宋_GB2312" w:eastAsia="仿宋_GB2312" w:hint="eastAsia"/>
          <w:sz w:val="32"/>
          <w:szCs w:val="32"/>
        </w:rPr>
        <w:t>μg/100</w:t>
      </w:r>
      <w:r>
        <w:rPr>
          <w:rFonts w:ascii="仿宋_GB2312" w:eastAsia="仿宋_GB2312" w:hint="eastAsia"/>
          <w:sz w:val="32"/>
          <w:szCs w:val="32"/>
          <w:vertAlign w:val="superscript"/>
        </w:rPr>
        <w:t xml:space="preserve"> </w:t>
      </w:r>
      <w:r>
        <w:rPr>
          <w:rFonts w:ascii="仿宋_GB2312" w:eastAsia="仿宋_GB2312" w:hint="eastAsia"/>
          <w:sz w:val="32"/>
          <w:szCs w:val="32"/>
        </w:rPr>
        <w:t>g左右，由此</w:t>
      </w:r>
      <w:r>
        <w:rPr>
          <w:rFonts w:ascii="仿宋_GB2312" w:eastAsia="仿宋_GB2312"/>
          <w:sz w:val="32"/>
          <w:szCs w:val="32"/>
        </w:rPr>
        <w:t>确定其指标范围是</w:t>
      </w:r>
      <w:r>
        <w:rPr>
          <w:rFonts w:ascii="仿宋_GB2312" w:eastAsia="仿宋_GB2312" w:hint="eastAsia"/>
          <w:sz w:val="32"/>
          <w:szCs w:val="32"/>
        </w:rPr>
        <w:t>9.0</w:t>
      </w:r>
      <w:r>
        <w:rPr>
          <w:rFonts w:ascii="仿宋_GB2312" w:eastAsia="仿宋_GB2312" w:hint="eastAsia"/>
          <w:sz w:val="32"/>
          <w:szCs w:val="32"/>
          <w:vertAlign w:val="superscript"/>
        </w:rPr>
        <w:t xml:space="preserve"> </w:t>
      </w:r>
      <w:r>
        <w:rPr>
          <w:rFonts w:ascii="仿宋_GB2312" w:eastAsia="仿宋_GB2312" w:hint="eastAsia"/>
          <w:sz w:val="32"/>
          <w:szCs w:val="32"/>
        </w:rPr>
        <w:t>μg/100</w:t>
      </w:r>
      <w:r>
        <w:rPr>
          <w:rFonts w:ascii="仿宋_GB2312" w:eastAsia="仿宋_GB2312" w:hint="eastAsia"/>
          <w:sz w:val="32"/>
          <w:szCs w:val="32"/>
          <w:vertAlign w:val="superscript"/>
        </w:rPr>
        <w:t xml:space="preserve"> </w:t>
      </w:r>
      <w:r>
        <w:rPr>
          <w:rFonts w:ascii="仿宋_GB2312" w:eastAsia="仿宋_GB2312" w:hint="eastAsia"/>
          <w:sz w:val="32"/>
          <w:szCs w:val="32"/>
        </w:rPr>
        <w:t>g～1000.0</w:t>
      </w:r>
      <w:r>
        <w:rPr>
          <w:rFonts w:ascii="仿宋_GB2312" w:eastAsia="仿宋_GB2312" w:hint="eastAsia"/>
          <w:sz w:val="32"/>
          <w:szCs w:val="32"/>
          <w:vertAlign w:val="superscript"/>
        </w:rPr>
        <w:t xml:space="preserve"> </w:t>
      </w:r>
      <w:r>
        <w:rPr>
          <w:rFonts w:ascii="仿宋_GB2312" w:eastAsia="仿宋_GB2312" w:hint="eastAsia"/>
          <w:sz w:val="32"/>
          <w:szCs w:val="32"/>
        </w:rPr>
        <w:t>μg/100</w:t>
      </w:r>
      <w:r>
        <w:rPr>
          <w:rFonts w:ascii="仿宋_GB2312" w:eastAsia="仿宋_GB2312" w:hint="eastAsia"/>
          <w:sz w:val="32"/>
          <w:szCs w:val="32"/>
          <w:vertAlign w:val="superscript"/>
        </w:rPr>
        <w:t xml:space="preserve"> </w:t>
      </w:r>
      <w:r>
        <w:rPr>
          <w:rFonts w:ascii="仿宋_GB2312" w:eastAsia="仿宋_GB2312" w:hint="eastAsia"/>
          <w:sz w:val="32"/>
          <w:szCs w:val="32"/>
        </w:rPr>
        <w:t>g。</w:t>
      </w:r>
    </w:p>
    <w:p w:rsidR="00B1503E" w:rsidRPr="00F20BCD" w:rsidRDefault="00DF2F5D" w:rsidP="00F20BCD">
      <w:pPr>
        <w:spacing w:line="560" w:lineRule="exact"/>
        <w:ind w:firstLineChars="200" w:firstLine="643"/>
        <w:rPr>
          <w:rFonts w:ascii="仿宋_GB2312" w:eastAsia="仿宋_GB2312"/>
          <w:sz w:val="32"/>
          <w:szCs w:val="32"/>
          <w:lang w:val="zh-CN"/>
        </w:rPr>
      </w:pPr>
      <w:r>
        <w:rPr>
          <w:rFonts w:ascii="仿宋_GB2312" w:eastAsia="仿宋_GB2312" w:hint="eastAsia"/>
          <w:b/>
          <w:sz w:val="32"/>
          <w:szCs w:val="32"/>
        </w:rPr>
        <w:t>钾</w:t>
      </w:r>
      <w:r>
        <w:rPr>
          <w:rFonts w:ascii="仿宋_GB2312" w:eastAsia="仿宋_GB2312"/>
          <w:b/>
          <w:sz w:val="32"/>
          <w:szCs w:val="32"/>
        </w:rPr>
        <w:t>、钙</w:t>
      </w:r>
      <w:r>
        <w:rPr>
          <w:rFonts w:ascii="仿宋_GB2312" w:eastAsia="仿宋_GB2312"/>
          <w:sz w:val="32"/>
          <w:szCs w:val="32"/>
        </w:rPr>
        <w:t>：</w:t>
      </w:r>
      <w:r>
        <w:rPr>
          <w:rFonts w:ascii="仿宋_GB2312" w:eastAsia="仿宋_GB2312" w:hint="eastAsia"/>
          <w:sz w:val="32"/>
          <w:szCs w:val="32"/>
        </w:rPr>
        <w:t>矿物质也是人体必需的营养成分，木薯</w:t>
      </w:r>
      <w:r>
        <w:rPr>
          <w:rFonts w:ascii="仿宋_GB2312" w:eastAsia="仿宋_GB2312"/>
          <w:sz w:val="32"/>
          <w:szCs w:val="32"/>
        </w:rPr>
        <w:t>块根中</w:t>
      </w:r>
      <w:r>
        <w:rPr>
          <w:rFonts w:ascii="仿宋_GB2312" w:eastAsia="仿宋_GB2312" w:hint="eastAsia"/>
          <w:sz w:val="32"/>
          <w:szCs w:val="32"/>
          <w:lang w:val="zh-CN"/>
        </w:rPr>
        <w:t>矿物质含量</w:t>
      </w:r>
      <w:r>
        <w:rPr>
          <w:rFonts w:ascii="仿宋_GB2312" w:eastAsia="仿宋_GB2312" w:hint="eastAsia"/>
          <w:sz w:val="32"/>
          <w:szCs w:val="32"/>
        </w:rPr>
        <w:t>可与除大豆外的其他豆类相媲美，</w:t>
      </w:r>
      <w:r>
        <w:rPr>
          <w:rFonts w:ascii="仿宋_GB2312" w:eastAsia="仿宋_GB2312"/>
          <w:sz w:val="32"/>
          <w:szCs w:val="32"/>
        </w:rPr>
        <w:t>其中</w:t>
      </w:r>
      <w:r>
        <w:rPr>
          <w:rFonts w:ascii="仿宋_GB2312" w:eastAsia="仿宋_GB2312" w:hint="eastAsia"/>
          <w:sz w:val="32"/>
          <w:szCs w:val="32"/>
          <w:lang w:val="zh-CN"/>
        </w:rPr>
        <w:t>钾的</w:t>
      </w:r>
      <w:r>
        <w:rPr>
          <w:rFonts w:ascii="仿宋_GB2312" w:eastAsia="仿宋_GB2312" w:hint="eastAsia"/>
          <w:sz w:val="32"/>
          <w:szCs w:val="32"/>
        </w:rPr>
        <w:t>检测结果为300</w:t>
      </w:r>
      <w:r>
        <w:rPr>
          <w:rFonts w:ascii="仿宋_GB2312" w:eastAsia="仿宋_GB2312" w:hint="eastAsia"/>
          <w:sz w:val="32"/>
          <w:szCs w:val="32"/>
          <w:vertAlign w:val="superscript"/>
        </w:rPr>
        <w:t xml:space="preserve"> </w:t>
      </w:r>
      <w:r>
        <w:rPr>
          <w:rFonts w:ascii="仿宋_GB2312" w:eastAsia="仿宋_GB2312" w:hint="eastAsia"/>
          <w:sz w:val="32"/>
          <w:szCs w:val="32"/>
        </w:rPr>
        <w:t>mg/100g左右，因此</w:t>
      </w:r>
      <w:r>
        <w:rPr>
          <w:rFonts w:ascii="仿宋_GB2312" w:eastAsia="仿宋_GB2312"/>
          <w:sz w:val="32"/>
          <w:szCs w:val="32"/>
        </w:rPr>
        <w:t>指标范围是</w:t>
      </w:r>
      <w:r>
        <w:rPr>
          <w:rFonts w:ascii="仿宋_GB2312" w:eastAsia="仿宋_GB2312" w:hint="eastAsia"/>
          <w:sz w:val="32"/>
          <w:szCs w:val="32"/>
        </w:rPr>
        <w:t>100</w:t>
      </w:r>
      <w:r>
        <w:rPr>
          <w:rFonts w:ascii="仿宋_GB2312" w:eastAsia="仿宋_GB2312" w:hint="eastAsia"/>
          <w:sz w:val="32"/>
          <w:szCs w:val="32"/>
          <w:vertAlign w:val="superscript"/>
          <w:lang w:val="zh-CN"/>
        </w:rPr>
        <w:t xml:space="preserve"> </w:t>
      </w:r>
      <w:r>
        <w:rPr>
          <w:rFonts w:ascii="仿宋_GB2312" w:eastAsia="仿宋_GB2312" w:hint="eastAsia"/>
          <w:sz w:val="32"/>
          <w:szCs w:val="32"/>
          <w:lang w:val="zh-CN"/>
        </w:rPr>
        <w:t>mg/100g</w:t>
      </w:r>
      <w:r>
        <w:rPr>
          <w:rFonts w:ascii="仿宋_GB2312" w:eastAsia="仿宋_GB2312" w:hint="eastAsia"/>
          <w:sz w:val="32"/>
          <w:szCs w:val="32"/>
        </w:rPr>
        <w:t>～600</w:t>
      </w:r>
      <w:r>
        <w:rPr>
          <w:rFonts w:ascii="仿宋_GB2312" w:eastAsia="仿宋_GB2312" w:hint="eastAsia"/>
          <w:sz w:val="32"/>
          <w:szCs w:val="32"/>
          <w:vertAlign w:val="superscript"/>
        </w:rPr>
        <w:t xml:space="preserve"> </w:t>
      </w:r>
      <w:r>
        <w:rPr>
          <w:rFonts w:ascii="仿宋_GB2312" w:eastAsia="仿宋_GB2312" w:hint="eastAsia"/>
          <w:sz w:val="32"/>
          <w:szCs w:val="32"/>
          <w:lang w:val="zh-CN"/>
        </w:rPr>
        <w:t>mg/100g。钙的</w:t>
      </w:r>
      <w:r>
        <w:rPr>
          <w:rFonts w:ascii="仿宋_GB2312" w:eastAsia="仿宋_GB2312" w:hint="eastAsia"/>
          <w:sz w:val="32"/>
          <w:szCs w:val="32"/>
        </w:rPr>
        <w:t>检测结果为</w:t>
      </w:r>
      <w:r>
        <w:rPr>
          <w:rFonts w:ascii="仿宋_GB2312" w:eastAsia="仿宋_GB2312"/>
          <w:sz w:val="32"/>
          <w:szCs w:val="32"/>
        </w:rPr>
        <w:t>27</w:t>
      </w:r>
      <w:r>
        <w:rPr>
          <w:rFonts w:ascii="仿宋_GB2312" w:eastAsia="仿宋_GB2312" w:hint="eastAsia"/>
          <w:sz w:val="32"/>
          <w:szCs w:val="32"/>
          <w:vertAlign w:val="superscript"/>
        </w:rPr>
        <w:t xml:space="preserve"> </w:t>
      </w:r>
      <w:r>
        <w:rPr>
          <w:rFonts w:ascii="仿宋_GB2312" w:eastAsia="仿宋_GB2312" w:hint="eastAsia"/>
          <w:sz w:val="32"/>
          <w:szCs w:val="32"/>
        </w:rPr>
        <w:t>mg/100g左右，因此</w:t>
      </w:r>
      <w:r>
        <w:rPr>
          <w:rFonts w:ascii="仿宋_GB2312" w:eastAsia="仿宋_GB2312"/>
          <w:sz w:val="32"/>
          <w:szCs w:val="32"/>
        </w:rPr>
        <w:t>指标范围是</w:t>
      </w:r>
      <w:r>
        <w:rPr>
          <w:rFonts w:ascii="仿宋_GB2312" w:eastAsia="仿宋_GB2312" w:hint="eastAsia"/>
          <w:sz w:val="32"/>
          <w:szCs w:val="32"/>
        </w:rPr>
        <w:t>10</w:t>
      </w:r>
      <w:r>
        <w:rPr>
          <w:rFonts w:ascii="仿宋_GB2312" w:eastAsia="仿宋_GB2312" w:hint="eastAsia"/>
          <w:sz w:val="32"/>
          <w:szCs w:val="32"/>
          <w:vertAlign w:val="superscript"/>
          <w:lang w:val="zh-CN"/>
        </w:rPr>
        <w:t xml:space="preserve"> </w:t>
      </w:r>
      <w:r>
        <w:rPr>
          <w:rFonts w:ascii="仿宋_GB2312" w:eastAsia="仿宋_GB2312" w:hint="eastAsia"/>
          <w:sz w:val="32"/>
          <w:szCs w:val="32"/>
          <w:lang w:val="zh-CN"/>
        </w:rPr>
        <w:t>mg/100g</w:t>
      </w:r>
      <w:r>
        <w:rPr>
          <w:rFonts w:ascii="仿宋_GB2312" w:eastAsia="仿宋_GB2312" w:hint="eastAsia"/>
          <w:sz w:val="32"/>
          <w:szCs w:val="32"/>
        </w:rPr>
        <w:t>～</w:t>
      </w:r>
      <w:r>
        <w:rPr>
          <w:rFonts w:ascii="仿宋_GB2312" w:eastAsia="仿宋_GB2312" w:hint="eastAsia"/>
          <w:sz w:val="32"/>
          <w:szCs w:val="32"/>
        </w:rPr>
        <w:lastRenderedPageBreak/>
        <w:t>50</w:t>
      </w:r>
      <w:r>
        <w:rPr>
          <w:rFonts w:ascii="仿宋_GB2312" w:eastAsia="仿宋_GB2312" w:hint="eastAsia"/>
          <w:sz w:val="32"/>
          <w:szCs w:val="32"/>
          <w:vertAlign w:val="superscript"/>
        </w:rPr>
        <w:t xml:space="preserve"> </w:t>
      </w:r>
      <w:r>
        <w:rPr>
          <w:rFonts w:ascii="仿宋_GB2312" w:eastAsia="仿宋_GB2312" w:hint="eastAsia"/>
          <w:sz w:val="32"/>
          <w:szCs w:val="32"/>
          <w:lang w:val="zh-CN"/>
        </w:rPr>
        <w:t>mg/100g。</w:t>
      </w:r>
    </w:p>
    <w:p w:rsidR="00B1503E" w:rsidRDefault="00F20BCD">
      <w:pPr>
        <w:snapToGrid w:val="0"/>
        <w:spacing w:line="560" w:lineRule="exact"/>
        <w:ind w:firstLineChars="200" w:firstLine="640"/>
        <w:rPr>
          <w:rFonts w:ascii="仿宋_GB2312" w:eastAsia="仿宋_GB2312"/>
          <w:sz w:val="32"/>
          <w:szCs w:val="32"/>
          <w:lang w:val="zh-CN"/>
        </w:rPr>
      </w:pPr>
      <w:r>
        <w:rPr>
          <w:rFonts w:ascii="仿宋_GB2312" w:eastAsia="仿宋_GB2312" w:hAnsi="宋体"/>
          <w:noProof/>
          <w:sz w:val="32"/>
          <w:szCs w:val="32"/>
        </w:rPr>
        <w:drawing>
          <wp:anchor distT="0" distB="0" distL="114300" distR="114300" simplePos="0" relativeHeight="251659264" behindDoc="0" locked="0" layoutInCell="1" allowOverlap="1">
            <wp:simplePos x="0" y="0"/>
            <wp:positionH relativeFrom="column">
              <wp:posOffset>79586</wp:posOffset>
            </wp:positionH>
            <wp:positionV relativeFrom="page">
              <wp:posOffset>5762201</wp:posOffset>
            </wp:positionV>
            <wp:extent cx="5655310" cy="3646170"/>
            <wp:effectExtent l="0" t="0" r="2540" b="0"/>
            <wp:wrapTopAndBottom/>
            <wp:docPr id="3" name="图片 3" descr="C:\Users\ADMINI~1\AppData\Local\Temp\WeChat Files\930ace7026d1ea0330001b3efcf57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WeChat Files\930ace7026d1ea0330001b3efcf573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655310" cy="3646170"/>
                    </a:xfrm>
                    <a:prstGeom prst="rect">
                      <a:avLst/>
                    </a:prstGeom>
                    <a:noFill/>
                    <a:ln>
                      <a:noFill/>
                    </a:ln>
                  </pic:spPr>
                </pic:pic>
              </a:graphicData>
            </a:graphic>
          </wp:anchor>
        </w:drawing>
      </w:r>
      <w:r w:rsidR="00DF2F5D">
        <w:rPr>
          <w:rFonts w:ascii="仿宋_GB2312" w:eastAsia="仿宋_GB2312" w:hAnsi="宋体" w:hint="eastAsia"/>
          <w:b/>
          <w:sz w:val="32"/>
          <w:szCs w:val="32"/>
        </w:rPr>
        <w:t>4.4加工特性</w:t>
      </w:r>
      <w:r w:rsidR="00DF2F5D">
        <w:rPr>
          <w:rFonts w:ascii="仿宋_GB2312" w:eastAsia="仿宋_GB2312" w:hAnsi="宋体"/>
          <w:b/>
          <w:sz w:val="32"/>
          <w:szCs w:val="32"/>
        </w:rPr>
        <w:t>指标</w:t>
      </w:r>
      <w:r w:rsidR="00DF2F5D">
        <w:rPr>
          <w:rFonts w:ascii="仿宋_GB2312" w:eastAsia="仿宋_GB2312" w:hAnsi="宋体"/>
          <w:sz w:val="32"/>
          <w:szCs w:val="32"/>
        </w:rPr>
        <w:t>包括</w:t>
      </w:r>
      <w:r w:rsidR="00DF2F5D">
        <w:rPr>
          <w:rFonts w:ascii="仿宋_GB2312" w:eastAsia="仿宋_GB2312" w:hAnsi="宋体" w:hint="eastAsia"/>
          <w:sz w:val="32"/>
          <w:szCs w:val="32"/>
        </w:rPr>
        <w:t>鲜食加工、油炸型即食薯片加工和食用木薯</w:t>
      </w:r>
      <w:r w:rsidR="00DF2F5D">
        <w:rPr>
          <w:rFonts w:ascii="仿宋_GB2312" w:eastAsia="仿宋_GB2312" w:hAnsi="宋体"/>
          <w:sz w:val="32"/>
          <w:szCs w:val="32"/>
        </w:rPr>
        <w:t>全粉加工</w:t>
      </w:r>
      <w:r w:rsidR="00DF2F5D">
        <w:rPr>
          <w:rFonts w:ascii="仿宋_GB2312" w:eastAsia="仿宋_GB2312" w:hAnsi="宋体" w:hint="eastAsia"/>
          <w:sz w:val="32"/>
          <w:szCs w:val="32"/>
        </w:rPr>
        <w:t>，主要依据陆柳英</w:t>
      </w:r>
      <w:r w:rsidR="00DF2F5D">
        <w:rPr>
          <w:rFonts w:ascii="仿宋_GB2312" w:eastAsia="仿宋_GB2312" w:hAnsi="宋体"/>
          <w:sz w:val="32"/>
          <w:szCs w:val="32"/>
        </w:rPr>
        <w:t>、王颖等</w:t>
      </w:r>
      <w:r w:rsidR="00DF2F5D">
        <w:rPr>
          <w:rFonts w:ascii="仿宋_GB2312" w:eastAsia="仿宋_GB2312" w:hAnsi="宋体" w:hint="eastAsia"/>
          <w:sz w:val="32"/>
          <w:szCs w:val="32"/>
        </w:rPr>
        <w:t>的</w:t>
      </w:r>
      <w:r w:rsidR="00DF2F5D">
        <w:rPr>
          <w:rFonts w:ascii="仿宋_GB2312" w:eastAsia="仿宋_GB2312" w:hAnsi="宋体"/>
          <w:sz w:val="32"/>
          <w:szCs w:val="32"/>
        </w:rPr>
        <w:t>《不同食用木薯品种（系）鲜食加工适宜性研究》</w:t>
      </w:r>
      <w:r w:rsidR="00DF2F5D">
        <w:rPr>
          <w:rFonts w:ascii="仿宋_GB2312" w:eastAsia="仿宋_GB2312" w:hAnsi="宋体" w:hint="eastAsia"/>
          <w:sz w:val="32"/>
          <w:szCs w:val="32"/>
        </w:rPr>
        <w:t>进行确定。华南9号为国内公认综合品质优良的食用木薯品种，南植199为目前种植面积最大的可食用品种。因此蒸木薯</w:t>
      </w:r>
      <w:r w:rsidR="00DF2F5D">
        <w:rPr>
          <w:rFonts w:ascii="仿宋_GB2312" w:eastAsia="仿宋_GB2312" w:hAnsi="宋体"/>
          <w:sz w:val="32"/>
          <w:szCs w:val="32"/>
        </w:rPr>
        <w:t>的食味评价主要</w:t>
      </w:r>
      <w:r w:rsidR="00DF2F5D">
        <w:rPr>
          <w:rFonts w:ascii="仿宋_GB2312" w:eastAsia="仿宋_GB2312" w:hAnsi="宋体" w:hint="eastAsia"/>
          <w:sz w:val="32"/>
          <w:szCs w:val="32"/>
        </w:rPr>
        <w:t>以华南9号、南植199木薯品种为对照，优于华南9号为优，南植199和华南9号两者之间为良。木薯汁的</w:t>
      </w:r>
      <w:r w:rsidR="00DF2F5D">
        <w:rPr>
          <w:rFonts w:ascii="仿宋_GB2312" w:eastAsia="仿宋_GB2312" w:hAnsi="宋体"/>
          <w:sz w:val="32"/>
          <w:szCs w:val="32"/>
        </w:rPr>
        <w:t>食味评价主要从组织状态、口感、风味、色泽进行评价，根据评价结果</w:t>
      </w:r>
      <w:r w:rsidR="00DF2F5D">
        <w:rPr>
          <w:rFonts w:ascii="仿宋_GB2312" w:eastAsia="仿宋_GB2312" w:hAnsi="宋体" w:hint="eastAsia"/>
          <w:sz w:val="32"/>
          <w:szCs w:val="32"/>
        </w:rPr>
        <w:t>分为</w:t>
      </w:r>
      <w:r w:rsidR="00DF2F5D">
        <w:rPr>
          <w:rFonts w:ascii="仿宋_GB2312" w:eastAsia="仿宋_GB2312" w:hAnsi="宋体"/>
          <w:sz w:val="32"/>
          <w:szCs w:val="32"/>
        </w:rPr>
        <w:t>优、良、一般三个等级。木薯羹</w:t>
      </w:r>
      <w:r w:rsidR="00DF2F5D">
        <w:rPr>
          <w:rFonts w:ascii="仿宋_GB2312" w:eastAsia="仿宋_GB2312" w:hAnsi="宋体" w:hint="eastAsia"/>
          <w:sz w:val="32"/>
          <w:szCs w:val="32"/>
        </w:rPr>
        <w:t>的食味</w:t>
      </w:r>
      <w:r w:rsidR="00DF2F5D">
        <w:rPr>
          <w:rFonts w:ascii="仿宋_GB2312" w:eastAsia="仿宋_GB2312" w:hAnsi="宋体"/>
          <w:sz w:val="32"/>
          <w:szCs w:val="32"/>
        </w:rPr>
        <w:t>评价</w:t>
      </w:r>
      <w:r w:rsidR="00DF2F5D">
        <w:rPr>
          <w:rFonts w:ascii="仿宋_GB2312" w:eastAsia="仿宋_GB2312" w:hAnsi="宋体" w:hint="eastAsia"/>
          <w:sz w:val="32"/>
          <w:szCs w:val="32"/>
        </w:rPr>
        <w:t>主要参考</w:t>
      </w:r>
      <w:r w:rsidR="00DF2F5D">
        <w:rPr>
          <w:rFonts w:ascii="仿宋_GB2312" w:eastAsia="仿宋_GB2312" w:hAnsi="宋体"/>
          <w:sz w:val="32"/>
          <w:szCs w:val="32"/>
        </w:rPr>
        <w:t>蒸木薯食味评价中的香度、黏度、面度、纤维感4项指标</w:t>
      </w:r>
      <w:r w:rsidR="00DF2F5D">
        <w:rPr>
          <w:rFonts w:ascii="仿宋_GB2312" w:eastAsia="仿宋_GB2312" w:hAnsi="宋体" w:hint="eastAsia"/>
          <w:sz w:val="32"/>
          <w:szCs w:val="32"/>
        </w:rPr>
        <w:t>，根据最终得分确定该种质木薯羹质量等级。油炸型</w:t>
      </w:r>
      <w:r w:rsidR="00DF2F5D">
        <w:rPr>
          <w:rFonts w:ascii="仿宋_GB2312" w:eastAsia="仿宋_GB2312" w:hAnsi="宋体"/>
          <w:sz w:val="32"/>
          <w:szCs w:val="32"/>
        </w:rPr>
        <w:t>即食</w:t>
      </w:r>
      <w:r w:rsidR="00DF2F5D">
        <w:rPr>
          <w:rFonts w:ascii="仿宋_GB2312" w:eastAsia="仿宋_GB2312" w:hAnsi="宋体" w:hint="eastAsia"/>
          <w:sz w:val="32"/>
          <w:szCs w:val="32"/>
        </w:rPr>
        <w:t>薯片的感官评价</w:t>
      </w:r>
      <w:r w:rsidR="00DF2F5D">
        <w:rPr>
          <w:rFonts w:ascii="仿宋_GB2312" w:eastAsia="仿宋_GB2312" w:hAnsi="宋体"/>
          <w:sz w:val="32"/>
          <w:szCs w:val="32"/>
        </w:rPr>
        <w:t>对组织状态、口感、风味、色泽进行评价，将薯片分为优</w:t>
      </w:r>
      <w:r w:rsidR="00DF2F5D">
        <w:rPr>
          <w:rFonts w:ascii="仿宋_GB2312" w:eastAsia="仿宋_GB2312" w:hAnsi="宋体" w:hint="eastAsia"/>
          <w:sz w:val="32"/>
          <w:szCs w:val="32"/>
        </w:rPr>
        <w:t>、</w:t>
      </w:r>
      <w:r w:rsidR="00DF2F5D">
        <w:rPr>
          <w:rFonts w:ascii="仿宋_GB2312" w:eastAsia="仿宋_GB2312" w:hAnsi="宋体"/>
          <w:sz w:val="32"/>
          <w:szCs w:val="32"/>
        </w:rPr>
        <w:t>良</w:t>
      </w:r>
      <w:r w:rsidR="00DF2F5D">
        <w:rPr>
          <w:rFonts w:ascii="仿宋_GB2312" w:eastAsia="仿宋_GB2312" w:hAnsi="宋体" w:hint="eastAsia"/>
          <w:sz w:val="32"/>
          <w:szCs w:val="32"/>
        </w:rPr>
        <w:t>、</w:t>
      </w:r>
      <w:r w:rsidR="00DF2F5D">
        <w:rPr>
          <w:rFonts w:ascii="仿宋_GB2312" w:eastAsia="仿宋_GB2312" w:hAnsi="宋体"/>
          <w:sz w:val="32"/>
          <w:szCs w:val="32"/>
        </w:rPr>
        <w:t>中等</w:t>
      </w:r>
      <w:r w:rsidR="00DF2F5D">
        <w:rPr>
          <w:rFonts w:ascii="仿宋_GB2312" w:eastAsia="仿宋_GB2312" w:hAnsi="宋体" w:hint="eastAsia"/>
          <w:sz w:val="32"/>
          <w:szCs w:val="32"/>
        </w:rPr>
        <w:t>、</w:t>
      </w:r>
      <w:r w:rsidR="00DF2F5D">
        <w:rPr>
          <w:rFonts w:ascii="仿宋_GB2312" w:eastAsia="仿宋_GB2312" w:hAnsi="宋体"/>
          <w:sz w:val="32"/>
          <w:szCs w:val="32"/>
        </w:rPr>
        <w:t>较差四</w:t>
      </w:r>
      <w:r w:rsidR="00DF2F5D">
        <w:rPr>
          <w:rFonts w:ascii="仿宋_GB2312" w:eastAsia="仿宋_GB2312" w:hAnsi="宋体" w:hint="eastAsia"/>
          <w:sz w:val="32"/>
          <w:szCs w:val="32"/>
        </w:rPr>
        <w:t>种</w:t>
      </w:r>
      <w:r w:rsidR="00DF2F5D">
        <w:rPr>
          <w:rFonts w:ascii="仿宋_GB2312" w:eastAsia="仿宋_GB2312" w:hAnsi="宋体"/>
          <w:sz w:val="32"/>
          <w:szCs w:val="32"/>
        </w:rPr>
        <w:t>等级。</w:t>
      </w:r>
      <w:r w:rsidR="00DF2F5D">
        <w:rPr>
          <w:rFonts w:ascii="仿宋_GB2312" w:eastAsia="仿宋_GB2312" w:hAnsi="宋体" w:hint="eastAsia"/>
          <w:sz w:val="32"/>
          <w:szCs w:val="32"/>
        </w:rPr>
        <w:t>食用</w:t>
      </w:r>
      <w:r w:rsidR="00DF2F5D">
        <w:rPr>
          <w:rFonts w:ascii="仿宋_GB2312" w:eastAsia="仿宋_GB2312" w:hAnsi="宋体"/>
          <w:sz w:val="32"/>
          <w:szCs w:val="32"/>
        </w:rPr>
        <w:t>木薯</w:t>
      </w:r>
      <w:r w:rsidR="00DF2F5D">
        <w:rPr>
          <w:rFonts w:ascii="仿宋_GB2312" w:eastAsia="仿宋_GB2312" w:hAnsi="宋体" w:hint="eastAsia"/>
          <w:sz w:val="32"/>
          <w:szCs w:val="32"/>
        </w:rPr>
        <w:t>全粉</w:t>
      </w:r>
      <w:r w:rsidR="00DF2F5D">
        <w:rPr>
          <w:rFonts w:ascii="仿宋_GB2312" w:eastAsia="仿宋_GB2312" w:hAnsi="宋体"/>
          <w:sz w:val="32"/>
          <w:szCs w:val="32"/>
        </w:rPr>
        <w:t>加工</w:t>
      </w:r>
      <w:r w:rsidR="00DF2F5D">
        <w:rPr>
          <w:rFonts w:ascii="仿宋_GB2312" w:eastAsia="仿宋_GB2312" w:hAnsi="宋体" w:hint="eastAsia"/>
          <w:sz w:val="32"/>
          <w:szCs w:val="32"/>
        </w:rPr>
        <w:t>的</w:t>
      </w:r>
      <w:r w:rsidR="00DF2F5D">
        <w:rPr>
          <w:rFonts w:ascii="仿宋_GB2312" w:eastAsia="仿宋_GB2312" w:hAnsi="宋体"/>
          <w:sz w:val="32"/>
          <w:szCs w:val="32"/>
        </w:rPr>
        <w:lastRenderedPageBreak/>
        <w:t>各项指标依据</w:t>
      </w:r>
      <w:r w:rsidR="00DF2F5D">
        <w:rPr>
          <w:rFonts w:ascii="仿宋_GB2312" w:eastAsia="仿宋_GB2312" w:hAnsi="宋体" w:hint="eastAsia"/>
          <w:sz w:val="32"/>
          <w:szCs w:val="32"/>
        </w:rPr>
        <w:t>DBS</w:t>
      </w:r>
      <w:r w:rsidR="00DF2F5D">
        <w:rPr>
          <w:rFonts w:ascii="仿宋_GB2312" w:eastAsia="仿宋_GB2312" w:hAnsi="宋体"/>
          <w:sz w:val="32"/>
          <w:szCs w:val="32"/>
        </w:rPr>
        <w:t xml:space="preserve"> </w:t>
      </w:r>
      <w:r w:rsidR="00DF2F5D">
        <w:rPr>
          <w:rFonts w:ascii="仿宋_GB2312" w:eastAsia="仿宋_GB2312" w:hAnsi="宋体" w:hint="eastAsia"/>
          <w:sz w:val="32"/>
          <w:szCs w:val="32"/>
        </w:rPr>
        <w:t>45</w:t>
      </w:r>
      <w:r w:rsidR="00DF2F5D">
        <w:rPr>
          <w:rFonts w:ascii="仿宋_GB2312" w:eastAsia="仿宋_GB2312" w:hAnsi="宋体"/>
          <w:sz w:val="32"/>
          <w:szCs w:val="32"/>
        </w:rPr>
        <w:t>/041</w:t>
      </w:r>
      <w:r w:rsidR="00DF2F5D" w:rsidRPr="00F20BCD">
        <w:rPr>
          <w:rFonts w:ascii="仿宋_GB2312" w:eastAsia="仿宋_GB2312" w:hAnsi="宋体" w:hint="eastAsia"/>
          <w:sz w:val="32"/>
          <w:szCs w:val="32"/>
        </w:rPr>
        <w:t>确定，具体内容如下：</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rPr>
        <w:t>5.1农艺性</w:t>
      </w:r>
      <w:r>
        <w:rPr>
          <w:rFonts w:ascii="仿宋_GB2312" w:eastAsia="仿宋_GB2312" w:hAnsi="宋体"/>
          <w:b/>
          <w:sz w:val="32"/>
          <w:szCs w:val="32"/>
        </w:rPr>
        <w:t>状指标</w:t>
      </w:r>
      <w:r>
        <w:rPr>
          <w:rFonts w:ascii="仿宋_GB2312" w:eastAsia="仿宋_GB2312" w:hAnsi="宋体"/>
          <w:sz w:val="32"/>
          <w:szCs w:val="32"/>
        </w:rPr>
        <w:t>的评价方法</w:t>
      </w:r>
      <w:r>
        <w:rPr>
          <w:rFonts w:ascii="仿宋_GB2312" w:eastAsia="仿宋_GB2312" w:hAnsi="宋体" w:hint="eastAsia"/>
          <w:sz w:val="32"/>
          <w:szCs w:val="32"/>
        </w:rPr>
        <w:t>主要依据NY/T 2642的</w:t>
      </w:r>
      <w:r>
        <w:rPr>
          <w:rFonts w:ascii="仿宋_GB2312" w:eastAsia="仿宋_GB2312" w:hAnsi="宋体"/>
          <w:sz w:val="32"/>
          <w:szCs w:val="32"/>
        </w:rPr>
        <w:t>方法进行评价。</w:t>
      </w:r>
      <w:r>
        <w:rPr>
          <w:rFonts w:ascii="仿宋_GB2312" w:eastAsia="仿宋_GB2312" w:hAnsi="宋体" w:hint="eastAsia"/>
          <w:sz w:val="32"/>
          <w:szCs w:val="32"/>
        </w:rPr>
        <w:t>木薯</w:t>
      </w:r>
      <w:r>
        <w:rPr>
          <w:rFonts w:ascii="仿宋_GB2312" w:eastAsia="仿宋_GB2312" w:hAnsi="宋体"/>
          <w:sz w:val="32"/>
          <w:szCs w:val="32"/>
        </w:rPr>
        <w:t>结薯大小不一，</w:t>
      </w:r>
      <w:r>
        <w:rPr>
          <w:rFonts w:ascii="仿宋_GB2312" w:eastAsia="仿宋_GB2312" w:hAnsi="宋体" w:hint="eastAsia"/>
          <w:sz w:val="32"/>
          <w:szCs w:val="32"/>
        </w:rPr>
        <w:t>太小的</w:t>
      </w:r>
      <w:r>
        <w:rPr>
          <w:rFonts w:ascii="仿宋_GB2312" w:eastAsia="仿宋_GB2312" w:hAnsi="宋体"/>
          <w:sz w:val="32"/>
          <w:szCs w:val="32"/>
        </w:rPr>
        <w:t>木薯不便于利用，</w:t>
      </w:r>
      <w:r>
        <w:rPr>
          <w:rFonts w:ascii="仿宋_GB2312" w:eastAsia="仿宋_GB2312" w:hAnsi="宋体" w:hint="eastAsia"/>
          <w:sz w:val="32"/>
          <w:szCs w:val="32"/>
        </w:rPr>
        <w:t>商品薯为单薯重≥</w:t>
      </w:r>
      <w:r>
        <w:rPr>
          <w:rFonts w:ascii="仿宋_GB2312" w:eastAsia="仿宋_GB2312" w:hAnsi="宋体"/>
          <w:sz w:val="32"/>
          <w:szCs w:val="32"/>
        </w:rPr>
        <w:t>0.25</w:t>
      </w:r>
      <w:r>
        <w:rPr>
          <w:rFonts w:ascii="仿宋_GB2312" w:eastAsia="仿宋_GB2312" w:hAnsi="宋体"/>
          <w:sz w:val="32"/>
          <w:szCs w:val="32"/>
          <w:vertAlign w:val="superscript"/>
        </w:rPr>
        <w:t xml:space="preserve"> </w:t>
      </w:r>
      <w:r>
        <w:rPr>
          <w:rFonts w:ascii="仿宋_GB2312" w:eastAsia="仿宋_GB2312" w:hAnsi="宋体"/>
          <w:sz w:val="32"/>
          <w:szCs w:val="32"/>
        </w:rPr>
        <w:t>kg的木薯</w:t>
      </w:r>
      <w:r>
        <w:rPr>
          <w:rFonts w:ascii="仿宋_GB2312" w:eastAsia="仿宋_GB2312" w:hAnsi="宋体" w:hint="eastAsia"/>
          <w:sz w:val="32"/>
          <w:szCs w:val="32"/>
        </w:rPr>
        <w:t>鲜薯。商品数率=检测样品商品薯个数/检测样品总薯个数×100％。机械损伤</w:t>
      </w:r>
      <w:r>
        <w:rPr>
          <w:rFonts w:ascii="仿宋_GB2312" w:eastAsia="仿宋_GB2312" w:hAnsi="宋体"/>
          <w:sz w:val="32"/>
          <w:szCs w:val="32"/>
        </w:rPr>
        <w:t>会影响木薯的</w:t>
      </w:r>
      <w:r>
        <w:rPr>
          <w:rFonts w:ascii="仿宋_GB2312" w:eastAsia="仿宋_GB2312" w:hAnsi="宋体" w:hint="eastAsia"/>
          <w:sz w:val="32"/>
          <w:szCs w:val="32"/>
        </w:rPr>
        <w:t>采后质量</w:t>
      </w:r>
      <w:r>
        <w:rPr>
          <w:rFonts w:ascii="仿宋_GB2312" w:eastAsia="仿宋_GB2312" w:hAnsi="宋体"/>
          <w:sz w:val="32"/>
          <w:szCs w:val="32"/>
        </w:rPr>
        <w:t>，影响经济价值</w:t>
      </w:r>
      <w:r>
        <w:rPr>
          <w:rFonts w:ascii="仿宋_GB2312" w:eastAsia="仿宋_GB2312" w:hAnsi="宋体" w:hint="eastAsia"/>
          <w:sz w:val="32"/>
          <w:szCs w:val="32"/>
        </w:rPr>
        <w:t>。机械损伤率=机械损伤</w:t>
      </w:r>
      <w:r>
        <w:rPr>
          <w:rFonts w:ascii="仿宋_GB2312" w:eastAsia="仿宋_GB2312" w:hAnsi="宋体"/>
          <w:sz w:val="32"/>
          <w:szCs w:val="32"/>
        </w:rPr>
        <w:t>的样品</w:t>
      </w:r>
      <w:r>
        <w:rPr>
          <w:rFonts w:ascii="仿宋_GB2312" w:eastAsia="仿宋_GB2312" w:hAnsi="宋体" w:hint="eastAsia"/>
          <w:sz w:val="32"/>
          <w:szCs w:val="32"/>
        </w:rPr>
        <w:t>个数/检验样品</w:t>
      </w:r>
      <w:r>
        <w:rPr>
          <w:rFonts w:ascii="仿宋_GB2312" w:eastAsia="仿宋_GB2312" w:hAnsi="宋体"/>
          <w:sz w:val="32"/>
          <w:szCs w:val="32"/>
        </w:rPr>
        <w:t>总</w:t>
      </w:r>
      <w:r>
        <w:rPr>
          <w:rFonts w:ascii="仿宋_GB2312" w:eastAsia="仿宋_GB2312" w:hAnsi="宋体" w:hint="eastAsia"/>
          <w:sz w:val="32"/>
          <w:szCs w:val="32"/>
        </w:rPr>
        <w:t>个数×100％</w:t>
      </w:r>
      <w:r>
        <w:rPr>
          <w:rFonts w:ascii="仿宋_GB2312" w:eastAsia="仿宋_GB2312" w:hAnsi="宋体"/>
          <w:sz w:val="32"/>
          <w:szCs w:val="32"/>
        </w:rPr>
        <w:t>。</w:t>
      </w:r>
      <w:r>
        <w:rPr>
          <w:rFonts w:ascii="仿宋_GB2312" w:eastAsia="仿宋_GB2312" w:hAnsi="宋体" w:hint="eastAsia"/>
          <w:sz w:val="32"/>
          <w:szCs w:val="32"/>
        </w:rPr>
        <w:t>在</w:t>
      </w:r>
      <w:r>
        <w:rPr>
          <w:rFonts w:ascii="仿宋_GB2312" w:eastAsia="仿宋_GB2312" w:hAnsi="宋体"/>
          <w:sz w:val="32"/>
          <w:szCs w:val="32"/>
        </w:rPr>
        <w:t>明暗</w:t>
      </w:r>
      <w:r>
        <w:rPr>
          <w:rFonts w:ascii="仿宋_GB2312" w:eastAsia="仿宋_GB2312" w:hAnsi="宋体" w:hint="eastAsia"/>
          <w:sz w:val="32"/>
          <w:szCs w:val="32"/>
        </w:rPr>
        <w:t>适度</w:t>
      </w:r>
      <w:r>
        <w:rPr>
          <w:rFonts w:ascii="仿宋_GB2312" w:eastAsia="仿宋_GB2312" w:hAnsi="宋体"/>
          <w:sz w:val="32"/>
          <w:szCs w:val="32"/>
        </w:rPr>
        <w:t>的光线下，</w:t>
      </w:r>
      <w:r>
        <w:rPr>
          <w:rFonts w:ascii="仿宋_GB2312" w:eastAsia="仿宋_GB2312" w:hAnsi="宋体" w:hint="eastAsia"/>
          <w:sz w:val="32"/>
          <w:szCs w:val="32"/>
        </w:rPr>
        <w:t>用肉眼</w:t>
      </w:r>
      <w:r>
        <w:rPr>
          <w:rFonts w:ascii="仿宋_GB2312" w:eastAsia="仿宋_GB2312" w:hAnsi="宋体"/>
          <w:sz w:val="32"/>
          <w:szCs w:val="32"/>
        </w:rPr>
        <w:t>观察木薯</w:t>
      </w:r>
      <w:r>
        <w:rPr>
          <w:rFonts w:ascii="仿宋_GB2312" w:eastAsia="仿宋_GB2312" w:hAnsi="宋体" w:hint="eastAsia"/>
          <w:sz w:val="32"/>
          <w:szCs w:val="32"/>
        </w:rPr>
        <w:t>块根</w:t>
      </w:r>
      <w:r>
        <w:rPr>
          <w:rFonts w:ascii="仿宋_GB2312" w:eastAsia="仿宋_GB2312" w:hAnsi="宋体"/>
          <w:sz w:val="32"/>
          <w:szCs w:val="32"/>
        </w:rPr>
        <w:t>的颜色。</w:t>
      </w:r>
      <w:r>
        <w:rPr>
          <w:rFonts w:ascii="仿宋_GB2312" w:eastAsia="仿宋_GB2312" w:hAnsi="宋体" w:hint="eastAsia"/>
          <w:sz w:val="32"/>
          <w:szCs w:val="32"/>
        </w:rPr>
        <w:t>气味用</w:t>
      </w:r>
      <w:r>
        <w:rPr>
          <w:rFonts w:ascii="仿宋_GB2312" w:eastAsia="仿宋_GB2312" w:hAnsi="宋体"/>
          <w:sz w:val="32"/>
          <w:szCs w:val="32"/>
        </w:rPr>
        <w:t>鼻</w:t>
      </w:r>
      <w:r>
        <w:rPr>
          <w:rFonts w:ascii="仿宋_GB2312" w:eastAsia="仿宋_GB2312" w:hAnsi="宋体" w:hint="eastAsia"/>
          <w:sz w:val="32"/>
          <w:szCs w:val="32"/>
        </w:rPr>
        <w:t>嗅的方法检测</w:t>
      </w:r>
      <w:r>
        <w:rPr>
          <w:rFonts w:ascii="仿宋_GB2312" w:eastAsia="仿宋_GB2312" w:hAnsi="宋体"/>
          <w:sz w:val="32"/>
          <w:szCs w:val="32"/>
        </w:rPr>
        <w:t>，冻害、霉烂、</w:t>
      </w:r>
      <w:r>
        <w:rPr>
          <w:rFonts w:ascii="仿宋_GB2312" w:eastAsia="仿宋_GB2312" w:hAnsi="宋体" w:hint="eastAsia"/>
          <w:sz w:val="32"/>
          <w:szCs w:val="32"/>
        </w:rPr>
        <w:t>变质</w:t>
      </w:r>
      <w:r>
        <w:rPr>
          <w:rFonts w:ascii="仿宋_GB2312" w:eastAsia="仿宋_GB2312" w:hAnsi="宋体"/>
          <w:sz w:val="32"/>
          <w:szCs w:val="32"/>
        </w:rPr>
        <w:t>、病虫害</w:t>
      </w:r>
      <w:r>
        <w:rPr>
          <w:rFonts w:ascii="仿宋_GB2312" w:eastAsia="仿宋_GB2312" w:hAnsi="宋体" w:hint="eastAsia"/>
          <w:sz w:val="32"/>
          <w:szCs w:val="32"/>
        </w:rPr>
        <w:t>、</w:t>
      </w:r>
      <w:r>
        <w:rPr>
          <w:rFonts w:ascii="仿宋_GB2312" w:eastAsia="仿宋_GB2312" w:hAnsi="宋体"/>
          <w:sz w:val="32"/>
          <w:szCs w:val="32"/>
        </w:rPr>
        <w:t>薯型和结薯情况用目测法进行检测。</w:t>
      </w:r>
      <w:r>
        <w:rPr>
          <w:rFonts w:ascii="仿宋_GB2312" w:eastAsia="仿宋_GB2312" w:hAnsi="宋体" w:hint="eastAsia"/>
          <w:sz w:val="32"/>
          <w:szCs w:val="32"/>
        </w:rPr>
        <w:t>为</w:t>
      </w:r>
      <w:r>
        <w:rPr>
          <w:rFonts w:ascii="仿宋_GB2312" w:eastAsia="仿宋_GB2312" w:hAnsi="宋体"/>
          <w:sz w:val="32"/>
          <w:szCs w:val="32"/>
        </w:rPr>
        <w:t>使检测结果更加准确，</w:t>
      </w:r>
      <w:r>
        <w:rPr>
          <w:rFonts w:ascii="仿宋_GB2312" w:eastAsia="仿宋_GB2312" w:hAnsi="宋体" w:hint="eastAsia"/>
          <w:sz w:val="32"/>
          <w:szCs w:val="32"/>
        </w:rPr>
        <w:t>在</w:t>
      </w:r>
      <w:r>
        <w:rPr>
          <w:rFonts w:ascii="仿宋_GB2312" w:eastAsia="仿宋_GB2312" w:hAnsi="宋体"/>
          <w:sz w:val="32"/>
          <w:szCs w:val="32"/>
        </w:rPr>
        <w:t>检查病虫害</w:t>
      </w:r>
      <w:r>
        <w:rPr>
          <w:rFonts w:ascii="仿宋_GB2312" w:eastAsia="仿宋_GB2312" w:hAnsi="宋体" w:hint="eastAsia"/>
          <w:sz w:val="32"/>
          <w:szCs w:val="32"/>
        </w:rPr>
        <w:t>时</w:t>
      </w:r>
      <w:r>
        <w:rPr>
          <w:rFonts w:ascii="仿宋_GB2312" w:eastAsia="仿宋_GB2312" w:hAnsi="宋体"/>
          <w:sz w:val="32"/>
          <w:szCs w:val="32"/>
        </w:rPr>
        <w:t>，当块根外部表现有病虫害症状或</w:t>
      </w:r>
      <w:r>
        <w:rPr>
          <w:rFonts w:ascii="仿宋_GB2312" w:eastAsia="仿宋_GB2312" w:hAnsi="宋体" w:hint="eastAsia"/>
          <w:sz w:val="32"/>
          <w:szCs w:val="32"/>
        </w:rPr>
        <w:t>对</w:t>
      </w:r>
      <w:r>
        <w:rPr>
          <w:rFonts w:ascii="仿宋_GB2312" w:eastAsia="仿宋_GB2312" w:hAnsi="宋体"/>
          <w:sz w:val="32"/>
          <w:szCs w:val="32"/>
        </w:rPr>
        <w:t>块根内部有怀疑</w:t>
      </w:r>
      <w:r>
        <w:rPr>
          <w:rFonts w:ascii="仿宋_GB2312" w:eastAsia="仿宋_GB2312" w:hAnsi="宋体" w:hint="eastAsia"/>
          <w:sz w:val="32"/>
          <w:szCs w:val="32"/>
        </w:rPr>
        <w:t>时</w:t>
      </w:r>
      <w:r>
        <w:rPr>
          <w:rFonts w:ascii="仿宋_GB2312" w:eastAsia="仿宋_GB2312" w:hAnsi="宋体"/>
          <w:sz w:val="32"/>
          <w:szCs w:val="32"/>
        </w:rPr>
        <w:t>，应剖开检验</w:t>
      </w:r>
      <w:r>
        <w:rPr>
          <w:rFonts w:ascii="仿宋_GB2312" w:eastAsia="仿宋_GB2312" w:hAnsi="宋体" w:hint="eastAsia"/>
          <w:sz w:val="32"/>
          <w:szCs w:val="32"/>
        </w:rPr>
        <w:t>。</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rPr>
        <w:t>5.2食</w:t>
      </w:r>
      <w:r>
        <w:rPr>
          <w:rFonts w:ascii="仿宋_GB2312" w:eastAsia="仿宋_GB2312" w:hAnsi="宋体"/>
          <w:b/>
          <w:sz w:val="32"/>
          <w:szCs w:val="32"/>
          <w:lang w:val="zh-CN"/>
        </w:rPr>
        <w:t>用型专用生理指标</w:t>
      </w:r>
      <w:r>
        <w:rPr>
          <w:rFonts w:ascii="仿宋_GB2312" w:eastAsia="仿宋_GB2312" w:hAnsi="宋体" w:hint="eastAsia"/>
          <w:sz w:val="32"/>
          <w:szCs w:val="32"/>
          <w:lang w:val="zh-CN"/>
        </w:rPr>
        <w:t>中HCN</w:t>
      </w:r>
      <w:r>
        <w:rPr>
          <w:rFonts w:ascii="仿宋_GB2312" w:eastAsia="仿宋_GB2312" w:hAnsi="宋体" w:hint="eastAsia"/>
          <w:sz w:val="32"/>
          <w:szCs w:val="32"/>
        </w:rPr>
        <w:t>按</w:t>
      </w:r>
      <w:r>
        <w:rPr>
          <w:rFonts w:ascii="仿宋_GB2312" w:eastAsia="仿宋_GB2312" w:hAnsi="宋体"/>
          <w:sz w:val="32"/>
          <w:szCs w:val="32"/>
        </w:rPr>
        <w:t>GB 5009.36</w:t>
      </w:r>
      <w:r>
        <w:rPr>
          <w:rFonts w:ascii="仿宋_GB2312" w:eastAsia="仿宋_GB2312" w:hAnsi="宋体" w:hint="eastAsia"/>
          <w:sz w:val="32"/>
          <w:szCs w:val="32"/>
        </w:rPr>
        <w:t>的</w:t>
      </w:r>
      <w:r>
        <w:rPr>
          <w:rFonts w:ascii="仿宋_GB2312" w:eastAsia="仿宋_GB2312" w:hAnsi="宋体"/>
          <w:sz w:val="32"/>
          <w:szCs w:val="32"/>
        </w:rPr>
        <w:t>方法进行测定。</w:t>
      </w:r>
      <w:r>
        <w:rPr>
          <w:rFonts w:ascii="仿宋_GB2312" w:eastAsia="仿宋_GB2312" w:hAnsi="宋体" w:hint="eastAsia"/>
          <w:sz w:val="32"/>
          <w:szCs w:val="32"/>
        </w:rPr>
        <w:t>污染物限量按GB</w:t>
      </w:r>
      <w:r>
        <w:rPr>
          <w:rFonts w:ascii="仿宋_GB2312" w:eastAsia="仿宋_GB2312" w:hAnsi="宋体"/>
          <w:sz w:val="32"/>
          <w:szCs w:val="32"/>
        </w:rPr>
        <w:t xml:space="preserve"> 2762</w:t>
      </w:r>
      <w:r>
        <w:rPr>
          <w:rFonts w:ascii="仿宋_GB2312" w:eastAsia="仿宋_GB2312" w:hAnsi="宋体" w:hint="eastAsia"/>
          <w:sz w:val="32"/>
          <w:szCs w:val="32"/>
        </w:rPr>
        <w:t>的要求</w:t>
      </w:r>
      <w:r>
        <w:rPr>
          <w:rFonts w:ascii="仿宋_GB2312" w:eastAsia="仿宋_GB2312" w:hAnsi="宋体"/>
          <w:sz w:val="32"/>
          <w:szCs w:val="32"/>
        </w:rPr>
        <w:t>进行测定。</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lang w:val="zh-CN"/>
        </w:rPr>
        <w:t>5.3</w:t>
      </w:r>
      <w:r>
        <w:rPr>
          <w:rFonts w:ascii="仿宋_GB2312" w:eastAsia="仿宋_GB2312" w:hAnsi="宋体"/>
          <w:b/>
          <w:sz w:val="32"/>
          <w:szCs w:val="32"/>
          <w:lang w:val="zh-CN"/>
        </w:rPr>
        <w:t>鲜薯品质性状指标</w:t>
      </w:r>
      <w:r>
        <w:rPr>
          <w:rFonts w:ascii="仿宋_GB2312" w:eastAsia="仿宋_GB2312" w:hAnsi="宋体" w:hint="eastAsia"/>
          <w:sz w:val="32"/>
          <w:szCs w:val="32"/>
          <w:lang w:val="zh-CN"/>
        </w:rPr>
        <w:t>的</w:t>
      </w:r>
      <w:r>
        <w:rPr>
          <w:rFonts w:ascii="仿宋_GB2312" w:eastAsia="仿宋_GB2312" w:hAnsi="宋体"/>
          <w:sz w:val="32"/>
          <w:szCs w:val="32"/>
          <w:lang w:val="zh-CN"/>
        </w:rPr>
        <w:t>评价</w:t>
      </w:r>
      <w:r>
        <w:rPr>
          <w:rFonts w:ascii="仿宋_GB2312" w:eastAsia="仿宋_GB2312" w:hAnsi="宋体" w:hint="eastAsia"/>
          <w:sz w:val="32"/>
          <w:szCs w:val="32"/>
          <w:lang w:val="zh-CN"/>
        </w:rPr>
        <w:t>方法主要依据</w:t>
      </w:r>
      <w:r>
        <w:rPr>
          <w:rFonts w:ascii="仿宋_GB2312" w:eastAsia="仿宋_GB2312" w:hAnsi="宋体"/>
          <w:sz w:val="32"/>
          <w:szCs w:val="32"/>
          <w:lang w:val="zh-CN"/>
        </w:rPr>
        <w:t>相应的国家标准</w:t>
      </w:r>
      <w:r>
        <w:rPr>
          <w:rFonts w:ascii="仿宋_GB2312" w:eastAsia="仿宋_GB2312" w:hAnsi="宋体" w:hint="eastAsia"/>
          <w:sz w:val="32"/>
          <w:szCs w:val="32"/>
          <w:lang w:val="zh-CN"/>
        </w:rPr>
        <w:t>进行确定。</w:t>
      </w:r>
      <w:r>
        <w:rPr>
          <w:rFonts w:ascii="仿宋_GB2312" w:eastAsia="仿宋_GB2312" w:hAnsi="宋体" w:hint="eastAsia"/>
          <w:sz w:val="32"/>
          <w:szCs w:val="32"/>
        </w:rPr>
        <w:t>水分和干物质含量按GB 5009.3进行测定。淀粉按GB 5009.9的规定测定。直链淀粉按GB/T 15</w:t>
      </w:r>
      <w:r>
        <w:rPr>
          <w:rFonts w:ascii="仿宋_GB2312" w:eastAsia="仿宋_GB2312" w:hAnsi="宋体"/>
          <w:sz w:val="32"/>
          <w:szCs w:val="32"/>
        </w:rPr>
        <w:t>683</w:t>
      </w:r>
      <w:r>
        <w:rPr>
          <w:rFonts w:ascii="仿宋_GB2312" w:eastAsia="仿宋_GB2312" w:hAnsi="宋体" w:hint="eastAsia"/>
          <w:sz w:val="32"/>
          <w:szCs w:val="32"/>
        </w:rPr>
        <w:t>的规定测定。可溶性糖按</w:t>
      </w:r>
      <w:r>
        <w:rPr>
          <w:rFonts w:ascii="仿宋_GB2312" w:eastAsia="仿宋_GB2312" w:hAnsi="宋体"/>
          <w:sz w:val="32"/>
          <w:szCs w:val="32"/>
        </w:rPr>
        <w:t>GB/T 37493</w:t>
      </w:r>
      <w:r>
        <w:rPr>
          <w:rFonts w:ascii="仿宋_GB2312" w:eastAsia="仿宋_GB2312" w:hAnsi="宋体" w:hint="eastAsia"/>
          <w:sz w:val="32"/>
          <w:szCs w:val="32"/>
        </w:rPr>
        <w:t>的规定测定。蛋白质按GB 5009.5的规定测定。膳食纤维按GB 5009.88的规定测定。维生素C按GB 5009.86的规定测定。β-胡萝卜素按</w:t>
      </w:r>
      <w:r>
        <w:rPr>
          <w:rFonts w:ascii="仿宋_GB2312" w:eastAsia="仿宋_GB2312" w:hAnsi="宋体"/>
          <w:sz w:val="32"/>
          <w:szCs w:val="32"/>
        </w:rPr>
        <w:t>GB 5009.</w:t>
      </w:r>
      <w:r>
        <w:rPr>
          <w:rFonts w:ascii="仿宋_GB2312" w:eastAsia="仿宋_GB2312" w:hAnsi="宋体" w:hint="eastAsia"/>
          <w:sz w:val="32"/>
          <w:szCs w:val="32"/>
        </w:rPr>
        <w:t>83的规定</w:t>
      </w:r>
      <w:r>
        <w:rPr>
          <w:rFonts w:ascii="仿宋_GB2312" w:eastAsia="仿宋_GB2312" w:hAnsi="宋体"/>
          <w:sz w:val="32"/>
          <w:szCs w:val="32"/>
        </w:rPr>
        <w:t>测定</w:t>
      </w:r>
      <w:r>
        <w:rPr>
          <w:rFonts w:ascii="仿宋_GB2312" w:eastAsia="仿宋_GB2312" w:hAnsi="宋体" w:hint="eastAsia"/>
          <w:sz w:val="32"/>
          <w:szCs w:val="32"/>
        </w:rPr>
        <w:t>。矿物质含量（钾、钙）中</w:t>
      </w:r>
      <w:r>
        <w:rPr>
          <w:rFonts w:ascii="仿宋_GB2312" w:eastAsia="仿宋_GB2312" w:hAnsi="宋体"/>
          <w:sz w:val="32"/>
          <w:szCs w:val="32"/>
        </w:rPr>
        <w:t>钾含量</w:t>
      </w:r>
      <w:r>
        <w:rPr>
          <w:rFonts w:ascii="仿宋_GB2312" w:eastAsia="仿宋_GB2312" w:hAnsi="宋体" w:hint="eastAsia"/>
          <w:sz w:val="32"/>
          <w:szCs w:val="32"/>
        </w:rPr>
        <w:t>按</w:t>
      </w:r>
      <w:r>
        <w:rPr>
          <w:rFonts w:ascii="仿宋_GB2312" w:eastAsia="仿宋_GB2312" w:hAnsi="宋体"/>
          <w:sz w:val="32"/>
          <w:szCs w:val="32"/>
        </w:rPr>
        <w:t>GB 5009.91</w:t>
      </w:r>
      <w:r>
        <w:rPr>
          <w:rFonts w:ascii="仿宋_GB2312" w:eastAsia="仿宋_GB2312" w:hAnsi="宋体" w:hint="eastAsia"/>
          <w:sz w:val="32"/>
          <w:szCs w:val="32"/>
        </w:rPr>
        <w:t>的规定测定</w:t>
      </w:r>
      <w:r>
        <w:rPr>
          <w:rFonts w:ascii="仿宋_GB2312" w:eastAsia="仿宋_GB2312" w:hAnsi="宋体"/>
          <w:sz w:val="32"/>
          <w:szCs w:val="32"/>
        </w:rPr>
        <w:t>。钙含量</w:t>
      </w:r>
      <w:r>
        <w:rPr>
          <w:rFonts w:ascii="仿宋_GB2312" w:eastAsia="仿宋_GB2312" w:hAnsi="宋体" w:hint="eastAsia"/>
          <w:sz w:val="32"/>
          <w:szCs w:val="32"/>
        </w:rPr>
        <w:t>按</w:t>
      </w:r>
      <w:r>
        <w:rPr>
          <w:rFonts w:ascii="仿宋_GB2312" w:eastAsia="仿宋_GB2312" w:hAnsi="宋体"/>
          <w:sz w:val="32"/>
          <w:szCs w:val="32"/>
        </w:rPr>
        <w:t>GB 5009.92</w:t>
      </w:r>
      <w:r>
        <w:rPr>
          <w:rFonts w:ascii="仿宋_GB2312" w:eastAsia="仿宋_GB2312" w:hAnsi="宋体" w:hint="eastAsia"/>
          <w:sz w:val="32"/>
          <w:szCs w:val="32"/>
        </w:rPr>
        <w:t>的规定测定。</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lang w:val="zh-CN"/>
        </w:rPr>
        <w:t>5.4</w:t>
      </w:r>
      <w:r>
        <w:rPr>
          <w:rFonts w:ascii="仿宋_GB2312" w:eastAsia="仿宋_GB2312" w:hAnsi="宋体"/>
          <w:b/>
          <w:sz w:val="32"/>
          <w:szCs w:val="32"/>
          <w:lang w:val="zh-CN"/>
        </w:rPr>
        <w:t>加工特性指标</w:t>
      </w:r>
      <w:r>
        <w:rPr>
          <w:rFonts w:ascii="仿宋_GB2312" w:eastAsia="仿宋_GB2312" w:hAnsi="宋体" w:hint="eastAsia"/>
          <w:sz w:val="32"/>
          <w:szCs w:val="32"/>
          <w:lang w:val="zh-CN"/>
        </w:rPr>
        <w:t>中</w:t>
      </w:r>
      <w:r>
        <w:rPr>
          <w:rFonts w:ascii="仿宋_GB2312" w:eastAsia="仿宋_GB2312" w:hAnsi="宋体"/>
          <w:sz w:val="32"/>
          <w:szCs w:val="32"/>
          <w:lang w:val="zh-CN"/>
        </w:rPr>
        <w:t>鲜食加工指标的评价方法主要依据</w:t>
      </w:r>
      <w:r>
        <w:rPr>
          <w:rFonts w:ascii="仿宋_GB2312" w:eastAsia="仿宋_GB2312" w:hAnsi="宋体" w:hint="eastAsia"/>
          <w:sz w:val="32"/>
          <w:szCs w:val="32"/>
          <w:lang w:val="zh-CN"/>
        </w:rPr>
        <w:t>陆柳英</w:t>
      </w:r>
      <w:r>
        <w:rPr>
          <w:rFonts w:ascii="仿宋_GB2312" w:eastAsia="仿宋_GB2312" w:hAnsi="宋体"/>
          <w:sz w:val="32"/>
          <w:szCs w:val="32"/>
          <w:lang w:val="zh-CN"/>
        </w:rPr>
        <w:t>、王颖等</w:t>
      </w:r>
      <w:r>
        <w:rPr>
          <w:rFonts w:ascii="仿宋_GB2312" w:eastAsia="仿宋_GB2312" w:hAnsi="宋体" w:hint="eastAsia"/>
          <w:sz w:val="32"/>
          <w:szCs w:val="32"/>
          <w:lang w:val="zh-CN"/>
        </w:rPr>
        <w:t>的</w:t>
      </w:r>
      <w:r>
        <w:rPr>
          <w:rFonts w:ascii="仿宋_GB2312" w:eastAsia="仿宋_GB2312" w:hAnsi="宋体"/>
          <w:sz w:val="32"/>
          <w:szCs w:val="32"/>
          <w:lang w:val="zh-CN"/>
        </w:rPr>
        <w:t>《</w:t>
      </w:r>
      <w:r>
        <w:rPr>
          <w:rFonts w:ascii="仿宋_GB2312" w:eastAsia="仿宋_GB2312" w:hAnsi="宋体"/>
          <w:sz w:val="32"/>
          <w:szCs w:val="32"/>
        </w:rPr>
        <w:t>不同食用木薯品种（系）鲜食加工适宜性研究</w:t>
      </w:r>
      <w:r>
        <w:rPr>
          <w:rFonts w:ascii="仿宋_GB2312" w:eastAsia="仿宋_GB2312" w:hAnsi="宋体"/>
          <w:sz w:val="32"/>
          <w:szCs w:val="32"/>
          <w:lang w:val="zh-CN"/>
        </w:rPr>
        <w:t>》</w:t>
      </w:r>
      <w:r>
        <w:rPr>
          <w:rFonts w:ascii="仿宋_GB2312" w:eastAsia="仿宋_GB2312" w:hAnsi="宋体" w:hint="eastAsia"/>
          <w:sz w:val="32"/>
          <w:szCs w:val="32"/>
          <w:lang w:val="zh-CN"/>
        </w:rPr>
        <w:t>进行确定。</w:t>
      </w:r>
      <w:r>
        <w:rPr>
          <w:rFonts w:ascii="仿宋_GB2312" w:eastAsia="仿宋_GB2312" w:hAnsi="宋体" w:hint="eastAsia"/>
          <w:sz w:val="32"/>
          <w:szCs w:val="32"/>
        </w:rPr>
        <w:t>油炸型即食薯片加工指标</w:t>
      </w:r>
      <w:r>
        <w:rPr>
          <w:rFonts w:ascii="仿宋_GB2312" w:eastAsia="仿宋_GB2312" w:hAnsi="宋体"/>
          <w:sz w:val="32"/>
          <w:szCs w:val="32"/>
        </w:rPr>
        <w:t>的</w:t>
      </w:r>
      <w:r>
        <w:rPr>
          <w:rFonts w:ascii="仿宋_GB2312" w:eastAsia="仿宋_GB2312" w:hAnsi="宋体" w:hint="eastAsia"/>
          <w:sz w:val="32"/>
          <w:szCs w:val="32"/>
        </w:rPr>
        <w:t>评价</w:t>
      </w:r>
      <w:r>
        <w:rPr>
          <w:rFonts w:ascii="仿宋_GB2312" w:eastAsia="仿宋_GB2312" w:hAnsi="宋体"/>
          <w:sz w:val="32"/>
          <w:szCs w:val="32"/>
        </w:rPr>
        <w:t>方法主要依据</w:t>
      </w:r>
      <w:r>
        <w:rPr>
          <w:rFonts w:ascii="仿宋_GB2312" w:eastAsia="仿宋_GB2312" w:hAnsi="宋体"/>
          <w:sz w:val="32"/>
          <w:szCs w:val="32"/>
          <w:lang w:val="zh-CN"/>
        </w:rPr>
        <w:t>王颖</w:t>
      </w:r>
      <w:r>
        <w:rPr>
          <w:rFonts w:ascii="仿宋_GB2312" w:eastAsia="仿宋_GB2312" w:hAnsi="宋体" w:hint="eastAsia"/>
          <w:sz w:val="32"/>
          <w:szCs w:val="32"/>
          <w:lang w:val="zh-CN"/>
        </w:rPr>
        <w:t>、</w:t>
      </w:r>
      <w:r>
        <w:rPr>
          <w:rFonts w:ascii="仿宋_GB2312" w:eastAsia="仿宋_GB2312" w:hAnsi="宋体" w:hint="eastAsia"/>
          <w:sz w:val="32"/>
          <w:szCs w:val="32"/>
          <w:lang w:val="zh-CN"/>
        </w:rPr>
        <w:lastRenderedPageBreak/>
        <w:t>陆柳英的</w:t>
      </w:r>
      <w:r>
        <w:rPr>
          <w:rFonts w:ascii="仿宋_GB2312" w:eastAsia="仿宋_GB2312" w:hAnsi="宋体"/>
          <w:sz w:val="32"/>
          <w:szCs w:val="32"/>
          <w:lang w:val="zh-CN"/>
        </w:rPr>
        <w:t>《</w:t>
      </w:r>
      <w:r>
        <w:rPr>
          <w:rFonts w:ascii="仿宋_GB2312" w:eastAsia="仿宋_GB2312" w:hAnsi="宋体"/>
          <w:sz w:val="32"/>
          <w:szCs w:val="32"/>
        </w:rPr>
        <w:t>不同食用木薯品种（系）薯片加工适宜性研究</w:t>
      </w:r>
      <w:r>
        <w:rPr>
          <w:rFonts w:ascii="仿宋_GB2312" w:eastAsia="仿宋_GB2312" w:hAnsi="宋体"/>
          <w:sz w:val="32"/>
          <w:szCs w:val="32"/>
          <w:lang w:val="zh-CN"/>
        </w:rPr>
        <w:t>》</w:t>
      </w:r>
      <w:r>
        <w:rPr>
          <w:rFonts w:ascii="仿宋_GB2312" w:eastAsia="仿宋_GB2312" w:hAnsi="宋体" w:hint="eastAsia"/>
          <w:sz w:val="32"/>
          <w:szCs w:val="32"/>
          <w:lang w:val="zh-CN"/>
        </w:rPr>
        <w:t>。给出了</w:t>
      </w:r>
      <w:r>
        <w:rPr>
          <w:rFonts w:ascii="仿宋_GB2312" w:eastAsia="仿宋_GB2312" w:hAnsi="宋体"/>
          <w:sz w:val="32"/>
          <w:szCs w:val="32"/>
          <w:lang w:val="zh-CN"/>
        </w:rPr>
        <w:t>蒸木薯、</w:t>
      </w:r>
      <w:r>
        <w:rPr>
          <w:rFonts w:ascii="仿宋_GB2312" w:eastAsia="仿宋_GB2312" w:hAnsi="宋体" w:hint="eastAsia"/>
          <w:sz w:val="32"/>
          <w:szCs w:val="32"/>
          <w:lang w:val="zh-CN"/>
        </w:rPr>
        <w:t>木薯汁</w:t>
      </w:r>
      <w:r>
        <w:rPr>
          <w:rFonts w:ascii="仿宋_GB2312" w:eastAsia="仿宋_GB2312" w:hAnsi="宋体"/>
          <w:sz w:val="32"/>
          <w:szCs w:val="32"/>
          <w:lang w:val="zh-CN"/>
        </w:rPr>
        <w:t>、木薯羹</w:t>
      </w:r>
      <w:r>
        <w:rPr>
          <w:rFonts w:ascii="仿宋_GB2312" w:eastAsia="仿宋_GB2312" w:hAnsi="宋体" w:hint="eastAsia"/>
          <w:sz w:val="32"/>
          <w:szCs w:val="32"/>
          <w:lang w:val="zh-CN"/>
        </w:rPr>
        <w:t>和</w:t>
      </w:r>
      <w:r>
        <w:rPr>
          <w:rFonts w:ascii="仿宋_GB2312" w:eastAsia="仿宋_GB2312" w:hAnsi="宋体"/>
          <w:sz w:val="32"/>
          <w:szCs w:val="32"/>
          <w:lang w:val="zh-CN"/>
        </w:rPr>
        <w:t>薯片的加工方法，食味评价通过</w:t>
      </w:r>
      <w:r>
        <w:rPr>
          <w:rFonts w:ascii="仿宋_GB2312" w:eastAsia="仿宋_GB2312" w:hAnsi="宋体"/>
          <w:sz w:val="32"/>
          <w:szCs w:val="32"/>
        </w:rPr>
        <w:t>8人组成的评定小组进行品鉴</w:t>
      </w:r>
      <w:r>
        <w:rPr>
          <w:rFonts w:ascii="仿宋_GB2312" w:eastAsia="仿宋_GB2312" w:hAnsi="宋体" w:hint="eastAsia"/>
          <w:sz w:val="32"/>
          <w:szCs w:val="32"/>
        </w:rPr>
        <w:t>得出结果</w:t>
      </w:r>
      <w:r>
        <w:rPr>
          <w:rFonts w:ascii="仿宋_GB2312" w:eastAsia="仿宋_GB2312" w:hAnsi="宋体"/>
          <w:sz w:val="32"/>
          <w:szCs w:val="32"/>
        </w:rPr>
        <w:t>。</w:t>
      </w:r>
      <w:r>
        <w:rPr>
          <w:rFonts w:ascii="仿宋_GB2312" w:eastAsia="仿宋_GB2312" w:hAnsi="宋体" w:hint="eastAsia"/>
          <w:sz w:val="32"/>
          <w:szCs w:val="32"/>
        </w:rPr>
        <w:t>食用木薯全粉</w:t>
      </w:r>
      <w:r>
        <w:rPr>
          <w:rFonts w:ascii="仿宋_GB2312" w:eastAsia="仿宋_GB2312" w:hAnsi="宋体"/>
          <w:sz w:val="32"/>
          <w:szCs w:val="32"/>
        </w:rPr>
        <w:t>加工按照</w:t>
      </w:r>
      <w:r>
        <w:rPr>
          <w:rFonts w:ascii="仿宋_GB2312" w:eastAsia="仿宋_GB2312" w:hAnsi="宋体" w:hint="eastAsia"/>
          <w:sz w:val="32"/>
          <w:szCs w:val="32"/>
        </w:rPr>
        <w:t>DBS</w:t>
      </w:r>
      <w:r>
        <w:rPr>
          <w:rFonts w:ascii="仿宋_GB2312" w:eastAsia="仿宋_GB2312" w:hAnsi="宋体"/>
          <w:sz w:val="32"/>
          <w:szCs w:val="32"/>
        </w:rPr>
        <w:t xml:space="preserve"> </w:t>
      </w:r>
      <w:r>
        <w:rPr>
          <w:rFonts w:ascii="仿宋_GB2312" w:eastAsia="仿宋_GB2312" w:hAnsi="宋体" w:hint="eastAsia"/>
          <w:sz w:val="32"/>
          <w:szCs w:val="32"/>
        </w:rPr>
        <w:t>45</w:t>
      </w:r>
      <w:r>
        <w:rPr>
          <w:rFonts w:ascii="仿宋_GB2312" w:eastAsia="仿宋_GB2312" w:hAnsi="宋体"/>
          <w:sz w:val="32"/>
          <w:szCs w:val="32"/>
        </w:rPr>
        <w:t>/041</w:t>
      </w:r>
      <w:r>
        <w:rPr>
          <w:rFonts w:ascii="仿宋_GB2312" w:eastAsia="仿宋_GB2312" w:hAnsi="宋体" w:hint="eastAsia"/>
          <w:sz w:val="32"/>
          <w:szCs w:val="32"/>
        </w:rPr>
        <w:t>的规定</w:t>
      </w:r>
      <w:r>
        <w:rPr>
          <w:rFonts w:ascii="仿宋_GB2312" w:eastAsia="仿宋_GB2312" w:hAnsi="宋体"/>
          <w:sz w:val="32"/>
          <w:szCs w:val="32"/>
        </w:rPr>
        <w:t>进行</w:t>
      </w:r>
      <w:r>
        <w:rPr>
          <w:rFonts w:ascii="仿宋_GB2312" w:eastAsia="仿宋_GB2312" w:hAnsi="宋体" w:hint="eastAsia"/>
          <w:sz w:val="32"/>
          <w:szCs w:val="32"/>
        </w:rPr>
        <w:t>加工和</w:t>
      </w:r>
      <w:r>
        <w:rPr>
          <w:rFonts w:ascii="仿宋_GB2312" w:eastAsia="仿宋_GB2312" w:hAnsi="宋体"/>
          <w:sz w:val="32"/>
          <w:szCs w:val="32"/>
        </w:rPr>
        <w:t>评价。</w:t>
      </w:r>
    </w:p>
    <w:p w:rsidR="00B1503E" w:rsidRDefault="00DF2F5D">
      <w:pPr>
        <w:spacing w:line="560" w:lineRule="exact"/>
        <w:ind w:firstLineChars="200" w:firstLine="643"/>
        <w:rPr>
          <w:rFonts w:ascii="仿宋_GB2312" w:eastAsia="仿宋_GB2312" w:hAnsi="宋体"/>
          <w:sz w:val="32"/>
          <w:szCs w:val="32"/>
        </w:rPr>
      </w:pPr>
      <w:r>
        <w:rPr>
          <w:rFonts w:ascii="仿宋_GB2312" w:eastAsia="仿宋_GB2312" w:hAnsi="宋体" w:hint="eastAsia"/>
          <w:b/>
          <w:sz w:val="32"/>
          <w:szCs w:val="32"/>
          <w:lang w:val="zh-CN"/>
        </w:rPr>
        <w:t>6评价规则</w:t>
      </w:r>
      <w:r>
        <w:rPr>
          <w:rFonts w:ascii="仿宋_GB2312" w:eastAsia="仿宋_GB2312" w:hAnsi="宋体" w:hint="eastAsia"/>
          <w:sz w:val="32"/>
          <w:szCs w:val="32"/>
          <w:lang w:val="zh-CN"/>
        </w:rPr>
        <w:t>中组批</w:t>
      </w:r>
      <w:r>
        <w:rPr>
          <w:rFonts w:ascii="仿宋_GB2312" w:eastAsia="仿宋_GB2312" w:hAnsi="宋体"/>
          <w:sz w:val="32"/>
          <w:szCs w:val="32"/>
          <w:lang w:val="zh-CN"/>
        </w:rPr>
        <w:t>主要依据</w:t>
      </w:r>
      <w:r>
        <w:rPr>
          <w:rFonts w:ascii="仿宋_GB2312" w:eastAsia="仿宋_GB2312" w:hAnsi="宋体" w:hint="eastAsia"/>
          <w:sz w:val="32"/>
          <w:szCs w:val="32"/>
          <w:lang w:val="zh-CN"/>
        </w:rPr>
        <w:t>NY/T 1520-2007确定</w:t>
      </w:r>
      <w:r>
        <w:rPr>
          <w:rFonts w:ascii="仿宋_GB2312" w:eastAsia="仿宋_GB2312" w:hAnsi="宋体"/>
          <w:sz w:val="32"/>
          <w:szCs w:val="32"/>
          <w:lang w:val="zh-CN"/>
        </w:rPr>
        <w:t>，</w:t>
      </w:r>
      <w:r>
        <w:rPr>
          <w:rFonts w:ascii="仿宋_GB2312" w:eastAsia="仿宋_GB2312" w:hAnsi="宋体" w:hint="eastAsia"/>
          <w:sz w:val="32"/>
          <w:szCs w:val="32"/>
        </w:rPr>
        <w:t>种源一致，种植地环境条件基本一致、种植时期一致、生产管理措施一致、采收和产地初加工基本一致、仓储条件基本一致的一批木薯，</w:t>
      </w:r>
      <w:r>
        <w:rPr>
          <w:rFonts w:ascii="仿宋_GB2312" w:eastAsia="仿宋_GB2312" w:hAnsi="宋体"/>
          <w:sz w:val="32"/>
          <w:szCs w:val="32"/>
        </w:rPr>
        <w:t>可使评价结果更加可靠</w:t>
      </w:r>
      <w:r>
        <w:rPr>
          <w:rFonts w:ascii="仿宋_GB2312" w:eastAsia="仿宋_GB2312" w:hAnsi="宋体" w:hint="eastAsia"/>
          <w:sz w:val="32"/>
          <w:szCs w:val="32"/>
        </w:rPr>
        <w:t>。</w:t>
      </w:r>
      <w:r>
        <w:rPr>
          <w:rFonts w:ascii="仿宋_GB2312" w:eastAsia="仿宋_GB2312" w:hAnsi="宋体" w:hint="eastAsia"/>
          <w:sz w:val="32"/>
          <w:szCs w:val="32"/>
          <w:lang w:val="zh-CN"/>
        </w:rPr>
        <w:t>取样</w:t>
      </w:r>
      <w:r>
        <w:rPr>
          <w:rFonts w:ascii="仿宋_GB2312" w:eastAsia="仿宋_GB2312" w:hAnsi="宋体"/>
          <w:sz w:val="32"/>
          <w:szCs w:val="32"/>
          <w:lang w:val="zh-CN"/>
        </w:rPr>
        <w:t>方法主要</w:t>
      </w:r>
      <w:r>
        <w:rPr>
          <w:rFonts w:ascii="仿宋_GB2312" w:eastAsia="仿宋_GB2312" w:hAnsi="宋体" w:hint="eastAsia"/>
          <w:sz w:val="32"/>
          <w:szCs w:val="32"/>
          <w:lang w:val="zh-CN"/>
        </w:rPr>
        <w:t>依据NY/T 2252</w:t>
      </w:r>
      <w:r>
        <w:rPr>
          <w:rFonts w:ascii="仿宋_GB2312" w:eastAsia="仿宋_GB2312" w:hAnsi="宋体"/>
          <w:sz w:val="32"/>
          <w:szCs w:val="32"/>
          <w:lang w:val="zh-CN"/>
        </w:rPr>
        <w:t>-2014</w:t>
      </w:r>
      <w:r>
        <w:rPr>
          <w:rFonts w:ascii="仿宋_GB2312" w:eastAsia="仿宋_GB2312" w:hAnsi="宋体" w:hint="eastAsia"/>
          <w:sz w:val="32"/>
          <w:szCs w:val="32"/>
          <w:lang w:val="zh-CN"/>
        </w:rPr>
        <w:t>《能源</w:t>
      </w:r>
      <w:r>
        <w:rPr>
          <w:rFonts w:ascii="仿宋_GB2312" w:eastAsia="仿宋_GB2312" w:hAnsi="宋体"/>
          <w:sz w:val="32"/>
          <w:szCs w:val="32"/>
          <w:lang w:val="zh-CN"/>
        </w:rPr>
        <w:t>木薯等级规格</w:t>
      </w:r>
      <w:r>
        <w:rPr>
          <w:rFonts w:ascii="仿宋_GB2312" w:eastAsia="仿宋_GB2312" w:hAnsi="宋体" w:hint="eastAsia"/>
          <w:sz w:val="32"/>
          <w:szCs w:val="32"/>
          <w:lang w:val="zh-CN"/>
        </w:rPr>
        <w:t xml:space="preserve"> </w:t>
      </w:r>
      <w:r>
        <w:rPr>
          <w:rFonts w:ascii="仿宋_GB2312" w:eastAsia="仿宋_GB2312" w:hAnsi="宋体"/>
          <w:sz w:val="32"/>
          <w:szCs w:val="32"/>
          <w:lang w:val="zh-CN"/>
        </w:rPr>
        <w:t xml:space="preserve"> </w:t>
      </w:r>
      <w:r>
        <w:rPr>
          <w:rFonts w:ascii="仿宋_GB2312" w:eastAsia="仿宋_GB2312" w:hAnsi="宋体" w:hint="eastAsia"/>
          <w:sz w:val="32"/>
          <w:szCs w:val="32"/>
          <w:lang w:val="zh-CN"/>
        </w:rPr>
        <w:t>鲜</w:t>
      </w:r>
      <w:r>
        <w:rPr>
          <w:rFonts w:ascii="仿宋_GB2312" w:eastAsia="仿宋_GB2312" w:hAnsi="宋体"/>
          <w:sz w:val="32"/>
          <w:szCs w:val="32"/>
          <w:lang w:val="zh-CN"/>
        </w:rPr>
        <w:t>木薯</w:t>
      </w:r>
      <w:r>
        <w:rPr>
          <w:rFonts w:ascii="仿宋_GB2312" w:eastAsia="仿宋_GB2312" w:hAnsi="宋体" w:hint="eastAsia"/>
          <w:sz w:val="32"/>
          <w:szCs w:val="32"/>
          <w:lang w:val="zh-CN"/>
        </w:rPr>
        <w:t>》结合</w:t>
      </w:r>
      <w:r>
        <w:rPr>
          <w:rFonts w:ascii="仿宋_GB2312" w:eastAsia="仿宋_GB2312" w:hAnsi="宋体"/>
          <w:sz w:val="32"/>
          <w:szCs w:val="32"/>
          <w:lang w:val="zh-CN"/>
        </w:rPr>
        <w:t>实际评价过程</w:t>
      </w:r>
      <w:r>
        <w:rPr>
          <w:rFonts w:ascii="仿宋_GB2312" w:eastAsia="仿宋_GB2312" w:hAnsi="宋体" w:hint="eastAsia"/>
          <w:sz w:val="32"/>
          <w:szCs w:val="32"/>
          <w:lang w:val="zh-CN"/>
        </w:rPr>
        <w:t>进行确定。农艺性状</w:t>
      </w:r>
      <w:r>
        <w:rPr>
          <w:rFonts w:ascii="仿宋_GB2312" w:eastAsia="仿宋_GB2312" w:hAnsi="宋体"/>
          <w:sz w:val="32"/>
          <w:szCs w:val="32"/>
          <w:lang w:val="zh-CN"/>
        </w:rPr>
        <w:t>指标、实用型专用生理指标、鲜薯品质性状指标、加工特性指标的评价采用不同的</w:t>
      </w:r>
      <w:r>
        <w:rPr>
          <w:rFonts w:ascii="仿宋_GB2312" w:eastAsia="仿宋_GB2312" w:hAnsi="宋体" w:hint="eastAsia"/>
          <w:sz w:val="32"/>
          <w:szCs w:val="32"/>
          <w:lang w:val="zh-CN"/>
        </w:rPr>
        <w:t>取样</w:t>
      </w:r>
      <w:r>
        <w:rPr>
          <w:rFonts w:ascii="仿宋_GB2312" w:eastAsia="仿宋_GB2312" w:hAnsi="宋体"/>
          <w:sz w:val="32"/>
          <w:szCs w:val="32"/>
          <w:lang w:val="zh-CN"/>
        </w:rPr>
        <w:t>方法</w:t>
      </w:r>
      <w:r>
        <w:rPr>
          <w:rFonts w:ascii="仿宋_GB2312" w:eastAsia="仿宋_GB2312" w:hAnsi="宋体" w:hint="eastAsia"/>
          <w:sz w:val="32"/>
          <w:szCs w:val="32"/>
          <w:lang w:val="zh-CN"/>
        </w:rPr>
        <w:t>，</w:t>
      </w:r>
      <w:r>
        <w:rPr>
          <w:rFonts w:ascii="仿宋_GB2312" w:eastAsia="仿宋_GB2312" w:hAnsi="宋体"/>
          <w:sz w:val="32"/>
          <w:szCs w:val="32"/>
          <w:lang w:val="zh-CN"/>
        </w:rPr>
        <w:t>抽取具有代表性的样品</w:t>
      </w:r>
      <w:r>
        <w:rPr>
          <w:rFonts w:ascii="仿宋_GB2312" w:eastAsia="仿宋_GB2312" w:hAnsi="宋体" w:hint="eastAsia"/>
          <w:sz w:val="32"/>
          <w:szCs w:val="32"/>
          <w:lang w:val="zh-CN"/>
        </w:rPr>
        <w:t>进行</w:t>
      </w:r>
      <w:r>
        <w:rPr>
          <w:rFonts w:ascii="仿宋_GB2312" w:eastAsia="仿宋_GB2312" w:hAnsi="宋体"/>
          <w:sz w:val="32"/>
          <w:szCs w:val="32"/>
          <w:lang w:val="zh-CN"/>
        </w:rPr>
        <w:t>评价。</w:t>
      </w:r>
    </w:p>
    <w:p w:rsidR="00B1503E" w:rsidRPr="00F20BCD" w:rsidRDefault="00F20BCD" w:rsidP="00F20BCD">
      <w:pPr>
        <w:adjustRightInd w:val="0"/>
        <w:snapToGrid w:val="0"/>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bCs/>
          <w:sz w:val="32"/>
          <w:szCs w:val="32"/>
        </w:rPr>
        <w:t>、</w:t>
      </w:r>
      <w:r w:rsidR="00DF2F5D" w:rsidRPr="00F20BCD">
        <w:rPr>
          <w:rFonts w:ascii="黑体" w:eastAsia="黑体" w:hAnsi="黑体" w:cs="黑体" w:hint="eastAsia"/>
          <w:bCs/>
          <w:sz w:val="32"/>
          <w:szCs w:val="32"/>
        </w:rPr>
        <w:t>国内外同类标准制修订情况及与法律法规、强制性标准关系</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经查阅，国内与</w:t>
      </w:r>
      <w:r>
        <w:rPr>
          <w:rFonts w:ascii="仿宋_GB2312" w:eastAsia="仿宋_GB2312" w:hAnsi="宋体" w:hint="eastAsia"/>
          <w:sz w:val="32"/>
          <w:szCs w:val="32"/>
        </w:rPr>
        <w:t>食用木薯块根质量综合评价</w:t>
      </w:r>
      <w:r>
        <w:rPr>
          <w:rFonts w:ascii="仿宋_GB2312" w:eastAsia="仿宋_GB2312" w:hAnsi="宋体" w:hint="eastAsia"/>
          <w:sz w:val="32"/>
          <w:szCs w:val="32"/>
          <w:lang w:val="zh-CN"/>
        </w:rPr>
        <w:t>技术有关的国家标准、行业标准及地方标准有：GB/T 31784-2015《马铃薯</w:t>
      </w:r>
      <w:r>
        <w:rPr>
          <w:rFonts w:ascii="仿宋_GB2312" w:eastAsia="仿宋_GB2312" w:hAnsi="宋体"/>
          <w:sz w:val="32"/>
          <w:szCs w:val="32"/>
          <w:lang w:val="zh-CN"/>
        </w:rPr>
        <w:t>商品薯分级与检验规程</w:t>
      </w:r>
      <w:r>
        <w:rPr>
          <w:rFonts w:ascii="仿宋_GB2312" w:eastAsia="仿宋_GB2312" w:hAnsi="宋体" w:hint="eastAsia"/>
          <w:sz w:val="32"/>
          <w:szCs w:val="32"/>
          <w:lang w:val="zh-CN"/>
        </w:rPr>
        <w:t>》、NY/T</w:t>
      </w:r>
      <w:r>
        <w:rPr>
          <w:rFonts w:ascii="仿宋_GB2312" w:eastAsia="仿宋_GB2312" w:hAnsi="宋体"/>
          <w:sz w:val="32"/>
          <w:szCs w:val="32"/>
          <w:lang w:val="zh-CN"/>
        </w:rPr>
        <w:t xml:space="preserve"> 2552-2014</w:t>
      </w:r>
      <w:r>
        <w:rPr>
          <w:rFonts w:ascii="仿宋_GB2312" w:eastAsia="仿宋_GB2312" w:hAnsi="宋体" w:hint="eastAsia"/>
          <w:sz w:val="32"/>
          <w:szCs w:val="32"/>
          <w:lang w:val="zh-CN"/>
        </w:rPr>
        <w:t>《能源木薯</w:t>
      </w:r>
      <w:r>
        <w:rPr>
          <w:rFonts w:ascii="仿宋_GB2312" w:eastAsia="仿宋_GB2312" w:hAnsi="宋体"/>
          <w:sz w:val="32"/>
          <w:szCs w:val="32"/>
          <w:lang w:val="zh-CN"/>
        </w:rPr>
        <w:t>等级规格</w:t>
      </w:r>
      <w:r>
        <w:rPr>
          <w:rFonts w:ascii="仿宋_GB2312" w:eastAsia="仿宋_GB2312" w:hAnsi="宋体" w:hint="eastAsia"/>
          <w:sz w:val="32"/>
          <w:szCs w:val="32"/>
          <w:lang w:val="zh-CN"/>
        </w:rPr>
        <w:t xml:space="preserve">  鲜木薯》</w:t>
      </w:r>
      <w:r>
        <w:rPr>
          <w:rFonts w:ascii="仿宋_GB2312" w:eastAsia="仿宋_GB2312" w:hAnsi="宋体" w:hint="eastAsia"/>
          <w:sz w:val="32"/>
          <w:szCs w:val="32"/>
        </w:rPr>
        <w:t>、DBS 45/041-2017《食品安全</w:t>
      </w:r>
      <w:r>
        <w:rPr>
          <w:rFonts w:ascii="仿宋_GB2312" w:eastAsia="仿宋_GB2312" w:hAnsi="宋体"/>
          <w:sz w:val="32"/>
          <w:szCs w:val="32"/>
        </w:rPr>
        <w:t>地方标准</w:t>
      </w:r>
      <w:r>
        <w:rPr>
          <w:rFonts w:ascii="仿宋_GB2312" w:eastAsia="仿宋_GB2312" w:hAnsi="宋体" w:hint="eastAsia"/>
          <w:sz w:val="32"/>
          <w:szCs w:val="32"/>
        </w:rPr>
        <w:t xml:space="preserve">  木薯</w:t>
      </w:r>
      <w:r>
        <w:rPr>
          <w:rFonts w:ascii="仿宋_GB2312" w:eastAsia="仿宋_GB2312" w:hAnsi="宋体"/>
          <w:sz w:val="32"/>
          <w:szCs w:val="32"/>
        </w:rPr>
        <w:t>全粉</w:t>
      </w:r>
      <w:r>
        <w:rPr>
          <w:rFonts w:ascii="仿宋_GB2312" w:eastAsia="仿宋_GB2312" w:hAnsi="宋体" w:hint="eastAsia"/>
          <w:sz w:val="32"/>
          <w:szCs w:val="32"/>
        </w:rPr>
        <w:t>》，以上标准没有给出食用木薯块根质量综合评价的方法，不能</w:t>
      </w:r>
      <w:r>
        <w:rPr>
          <w:rFonts w:ascii="仿宋_GB2312" w:eastAsia="仿宋_GB2312" w:hAnsi="宋体"/>
          <w:sz w:val="32"/>
          <w:szCs w:val="32"/>
        </w:rPr>
        <w:t>对</w:t>
      </w:r>
      <w:r>
        <w:rPr>
          <w:rFonts w:ascii="仿宋_GB2312" w:eastAsia="仿宋_GB2312" w:hAnsi="宋体" w:hint="eastAsia"/>
          <w:sz w:val="32"/>
          <w:szCs w:val="32"/>
        </w:rPr>
        <w:t>食用</w:t>
      </w:r>
      <w:r>
        <w:rPr>
          <w:rFonts w:ascii="仿宋_GB2312" w:eastAsia="仿宋_GB2312" w:hAnsi="宋体"/>
          <w:sz w:val="32"/>
          <w:szCs w:val="32"/>
        </w:rPr>
        <w:t>木薯</w:t>
      </w:r>
      <w:r>
        <w:rPr>
          <w:rFonts w:ascii="仿宋_GB2312" w:eastAsia="仿宋_GB2312" w:hAnsi="宋体" w:hint="eastAsia"/>
          <w:sz w:val="32"/>
          <w:szCs w:val="32"/>
        </w:rPr>
        <w:t>块根</w:t>
      </w:r>
      <w:r>
        <w:rPr>
          <w:rFonts w:ascii="仿宋_GB2312" w:eastAsia="仿宋_GB2312" w:hAnsi="宋体"/>
          <w:sz w:val="32"/>
          <w:szCs w:val="32"/>
        </w:rPr>
        <w:t>进行多个方面的客观评价，</w:t>
      </w:r>
      <w:r>
        <w:rPr>
          <w:rFonts w:ascii="仿宋_GB2312" w:eastAsia="仿宋_GB2312" w:hAnsi="宋体" w:hint="eastAsia"/>
          <w:sz w:val="32"/>
          <w:szCs w:val="32"/>
        </w:rPr>
        <w:t>均无法满足广西的食用木薯块根质量综合评价技术要求。</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本标准的内容与现行的法律、法规及强制性标准无冲突，标准的编写符合</w:t>
      </w:r>
      <w:r>
        <w:rPr>
          <w:rFonts w:ascii="仿宋_GB2312" w:eastAsia="仿宋_GB2312" w:hAnsi="宋体" w:hint="eastAsia"/>
          <w:sz w:val="32"/>
          <w:szCs w:val="32"/>
        </w:rPr>
        <w:t>GB</w:t>
      </w:r>
      <w:r w:rsidRPr="00F20BCD">
        <w:rPr>
          <w:rFonts w:ascii="仿宋_GB2312" w:eastAsia="仿宋_GB2312" w:hAnsi="宋体" w:hint="eastAsia"/>
          <w:sz w:val="32"/>
          <w:szCs w:val="32"/>
        </w:rPr>
        <w:t>/T</w:t>
      </w:r>
      <w:r w:rsidR="00F20BCD" w:rsidRPr="00F20BCD">
        <w:rPr>
          <w:rFonts w:ascii="仿宋_GB2312" w:eastAsia="仿宋_GB2312" w:hAnsi="宋体"/>
          <w:sz w:val="32"/>
          <w:szCs w:val="32"/>
        </w:rPr>
        <w:t xml:space="preserve"> </w:t>
      </w:r>
      <w:r w:rsidRPr="00F20BCD">
        <w:rPr>
          <w:rFonts w:ascii="仿宋_GB2312" w:eastAsia="仿宋_GB2312" w:hAnsi="宋体" w:hint="eastAsia"/>
          <w:sz w:val="32"/>
          <w:szCs w:val="32"/>
        </w:rPr>
        <w:t>1.</w:t>
      </w:r>
      <w:r>
        <w:rPr>
          <w:rFonts w:ascii="仿宋_GB2312" w:eastAsia="仿宋_GB2312" w:hAnsi="宋体" w:hint="eastAsia"/>
          <w:sz w:val="32"/>
          <w:szCs w:val="32"/>
        </w:rPr>
        <w:t>1-2020的要求。</w:t>
      </w:r>
    </w:p>
    <w:p w:rsidR="00B1503E" w:rsidRDefault="00DF2F5D" w:rsidP="00F20BCD">
      <w:pPr>
        <w:adjustRightInd w:val="0"/>
        <w:snapToGrid w:val="0"/>
        <w:spacing w:beforeLines="50" w:before="156" w:afterLines="50" w:after="156"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本标准研制过程中无重大分歧意见。</w:t>
      </w:r>
    </w:p>
    <w:p w:rsidR="00B1503E" w:rsidRDefault="00DF2F5D" w:rsidP="00F20BCD">
      <w:pPr>
        <w:spacing w:beforeLines="50" w:before="156" w:afterLines="50" w:after="156" w:line="560" w:lineRule="exact"/>
        <w:ind w:firstLineChars="200" w:firstLine="640"/>
        <w:rPr>
          <w:rFonts w:ascii="黑体" w:eastAsia="黑体" w:hAnsi="黑体"/>
          <w:sz w:val="32"/>
          <w:szCs w:val="32"/>
        </w:rPr>
      </w:pPr>
      <w:r>
        <w:rPr>
          <w:rFonts w:ascii="黑体" w:eastAsia="黑体" w:hAnsi="黑体" w:hint="eastAsia"/>
          <w:sz w:val="32"/>
          <w:szCs w:val="32"/>
        </w:rPr>
        <w:t>八</w:t>
      </w:r>
      <w:r>
        <w:rPr>
          <w:rFonts w:ascii="黑体" w:eastAsia="黑体" w:hAnsi="黑体"/>
          <w:sz w:val="32"/>
          <w:szCs w:val="32"/>
        </w:rPr>
        <w:t>、自我承诺</w:t>
      </w:r>
    </w:p>
    <w:p w:rsidR="00B1503E" w:rsidRDefault="00DF2F5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本标准内容与各项指标不低于国家强制性标准、推荐性国家标准和行业标准。</w:t>
      </w:r>
    </w:p>
    <w:p w:rsidR="00B1503E" w:rsidRDefault="00B1503E">
      <w:pPr>
        <w:spacing w:line="560" w:lineRule="exact"/>
        <w:rPr>
          <w:rFonts w:ascii="仿宋_GB2312" w:eastAsia="仿宋_GB2312" w:hAnsi="宋体"/>
          <w:sz w:val="32"/>
          <w:szCs w:val="32"/>
          <w:lang w:val="zh-CN"/>
        </w:rPr>
      </w:pPr>
    </w:p>
    <w:p w:rsidR="00B1503E" w:rsidRDefault="00B1503E">
      <w:pPr>
        <w:spacing w:line="560" w:lineRule="exact"/>
        <w:rPr>
          <w:rFonts w:ascii="仿宋_GB2312" w:eastAsia="仿宋_GB2312" w:hAnsi="宋体"/>
          <w:sz w:val="32"/>
          <w:szCs w:val="32"/>
          <w:lang w:val="zh-CN"/>
        </w:rPr>
      </w:pPr>
    </w:p>
    <w:p w:rsidR="00B1503E" w:rsidRDefault="00DF2F5D">
      <w:pPr>
        <w:spacing w:line="560" w:lineRule="exact"/>
        <w:ind w:firstLineChars="200" w:firstLine="640"/>
        <w:jc w:val="right"/>
        <w:outlineLvl w:val="0"/>
        <w:rPr>
          <w:rFonts w:ascii="仿宋_GB2312" w:eastAsia="仿宋_GB2312" w:hAnsi="宋体"/>
          <w:sz w:val="32"/>
          <w:szCs w:val="32"/>
          <w:lang w:val="zh-CN"/>
        </w:rPr>
      </w:pPr>
      <w:r>
        <w:rPr>
          <w:rFonts w:ascii="仿宋_GB2312" w:eastAsia="仿宋_GB2312" w:hAnsi="宋体" w:hint="eastAsia"/>
          <w:sz w:val="32"/>
          <w:szCs w:val="32"/>
          <w:lang w:val="zh-CN"/>
        </w:rPr>
        <w:t>团体标准《食用木薯块根质量综合评价技术规程》</w:t>
      </w:r>
    </w:p>
    <w:p w:rsidR="00B1503E" w:rsidRDefault="00DF2F5D">
      <w:pPr>
        <w:spacing w:line="560" w:lineRule="exact"/>
        <w:ind w:firstLineChars="1850" w:firstLine="5920"/>
        <w:jc w:val="right"/>
        <w:rPr>
          <w:rFonts w:ascii="仿宋_GB2312" w:eastAsia="仿宋_GB2312" w:hAnsi="宋体"/>
          <w:sz w:val="32"/>
          <w:szCs w:val="32"/>
          <w:lang w:val="zh-CN"/>
        </w:rPr>
      </w:pPr>
      <w:r>
        <w:rPr>
          <w:rFonts w:ascii="仿宋_GB2312" w:eastAsia="仿宋_GB2312" w:hAnsi="宋体" w:hint="eastAsia"/>
          <w:sz w:val="32"/>
          <w:szCs w:val="32"/>
          <w:lang w:val="zh-CN"/>
        </w:rPr>
        <w:t>标准编制小组</w:t>
      </w:r>
    </w:p>
    <w:p w:rsidR="00B1503E" w:rsidRDefault="00DF2F5D">
      <w:pPr>
        <w:spacing w:line="560" w:lineRule="exact"/>
        <w:ind w:firstLineChars="200" w:firstLine="640"/>
        <w:jc w:val="right"/>
        <w:rPr>
          <w:rFonts w:ascii="仿宋_GB2312" w:eastAsia="仿宋_GB2312" w:hAnsi="宋体"/>
          <w:sz w:val="32"/>
          <w:szCs w:val="32"/>
        </w:rPr>
      </w:pPr>
      <w:r>
        <w:rPr>
          <w:rFonts w:ascii="仿宋_GB2312" w:eastAsia="仿宋_GB2312" w:hAnsi="宋体" w:hint="eastAsia"/>
          <w:sz w:val="32"/>
          <w:szCs w:val="32"/>
        </w:rPr>
        <w:t>2021</w:t>
      </w:r>
      <w:r>
        <w:rPr>
          <w:rFonts w:ascii="仿宋_GB2312" w:eastAsia="仿宋_GB2312" w:hAnsi="宋体" w:hint="eastAsia"/>
          <w:sz w:val="32"/>
          <w:szCs w:val="32"/>
          <w:lang w:val="zh-CN"/>
        </w:rPr>
        <w:t>年</w:t>
      </w:r>
      <w:r>
        <w:rPr>
          <w:rFonts w:ascii="仿宋_GB2312" w:eastAsia="仿宋_GB2312" w:hAnsi="宋体"/>
          <w:sz w:val="32"/>
          <w:szCs w:val="32"/>
        </w:rPr>
        <w:t>11</w:t>
      </w:r>
      <w:r>
        <w:rPr>
          <w:rFonts w:ascii="仿宋_GB2312" w:eastAsia="仿宋_GB2312" w:hAnsi="宋体" w:hint="eastAsia"/>
          <w:sz w:val="32"/>
          <w:szCs w:val="32"/>
          <w:lang w:val="zh-CN"/>
        </w:rPr>
        <w:t>月</w:t>
      </w:r>
      <w:r>
        <w:rPr>
          <w:rFonts w:ascii="仿宋_GB2312" w:eastAsia="仿宋_GB2312" w:hAnsi="宋体"/>
          <w:sz w:val="32"/>
          <w:szCs w:val="32"/>
        </w:rPr>
        <w:t>10</w:t>
      </w:r>
      <w:r>
        <w:rPr>
          <w:rFonts w:ascii="仿宋_GB2312" w:eastAsia="仿宋_GB2312" w:hAnsi="宋体" w:hint="eastAsia"/>
          <w:sz w:val="32"/>
          <w:szCs w:val="32"/>
        </w:rPr>
        <w:t>日</w:t>
      </w:r>
    </w:p>
    <w:p w:rsidR="00B1503E" w:rsidRDefault="00B1503E">
      <w:pPr>
        <w:spacing w:line="560" w:lineRule="exact"/>
        <w:rPr>
          <w:sz w:val="32"/>
          <w:szCs w:val="32"/>
        </w:rPr>
      </w:pPr>
    </w:p>
    <w:sectPr w:rsidR="00B1503E">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EA5" w:rsidRDefault="000C5EA5" w:rsidP="00947E26">
      <w:r>
        <w:separator/>
      </w:r>
    </w:p>
  </w:endnote>
  <w:endnote w:type="continuationSeparator" w:id="0">
    <w:p w:rsidR="000C5EA5" w:rsidRDefault="000C5EA5" w:rsidP="0094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EA5" w:rsidRDefault="000C5EA5" w:rsidP="00947E26">
      <w:r>
        <w:separator/>
      </w:r>
    </w:p>
  </w:footnote>
  <w:footnote w:type="continuationSeparator" w:id="0">
    <w:p w:rsidR="000C5EA5" w:rsidRDefault="000C5EA5" w:rsidP="00947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124174A8"/>
    <w:multiLevelType w:val="multilevel"/>
    <w:tmpl w:val="124174A8"/>
    <w:lvl w:ilvl="0">
      <w:start w:val="1"/>
      <w:numFmt w:val="japaneseCounting"/>
      <w:lvlText w:val="%1、"/>
      <w:lvlJc w:val="left"/>
      <w:pPr>
        <w:ind w:left="1224" w:hanging="720"/>
      </w:pPr>
      <w:rPr>
        <w:rFonts w:hint="default"/>
      </w:rPr>
    </w:lvl>
    <w:lvl w:ilvl="1">
      <w:start w:val="1"/>
      <w:numFmt w:val="lowerLetter"/>
      <w:lvlText w:val="%2)"/>
      <w:lvlJc w:val="left"/>
      <w:pPr>
        <w:ind w:left="1344" w:hanging="420"/>
      </w:pPr>
    </w:lvl>
    <w:lvl w:ilvl="2">
      <w:start w:val="1"/>
      <w:numFmt w:val="lowerRoman"/>
      <w:lvlText w:val="%3."/>
      <w:lvlJc w:val="right"/>
      <w:pPr>
        <w:ind w:left="1764" w:hanging="420"/>
      </w:pPr>
    </w:lvl>
    <w:lvl w:ilvl="3">
      <w:start w:val="1"/>
      <w:numFmt w:val="decimal"/>
      <w:lvlText w:val="%4."/>
      <w:lvlJc w:val="left"/>
      <w:pPr>
        <w:ind w:left="2184" w:hanging="420"/>
      </w:pPr>
    </w:lvl>
    <w:lvl w:ilvl="4">
      <w:start w:val="1"/>
      <w:numFmt w:val="lowerLetter"/>
      <w:lvlText w:val="%5)"/>
      <w:lvlJc w:val="left"/>
      <w:pPr>
        <w:ind w:left="2604" w:hanging="420"/>
      </w:pPr>
    </w:lvl>
    <w:lvl w:ilvl="5">
      <w:start w:val="1"/>
      <w:numFmt w:val="lowerRoman"/>
      <w:lvlText w:val="%6."/>
      <w:lvlJc w:val="right"/>
      <w:pPr>
        <w:ind w:left="3024" w:hanging="420"/>
      </w:pPr>
    </w:lvl>
    <w:lvl w:ilvl="6">
      <w:start w:val="1"/>
      <w:numFmt w:val="decimal"/>
      <w:lvlText w:val="%7."/>
      <w:lvlJc w:val="left"/>
      <w:pPr>
        <w:ind w:left="3444" w:hanging="420"/>
      </w:pPr>
    </w:lvl>
    <w:lvl w:ilvl="7">
      <w:start w:val="1"/>
      <w:numFmt w:val="lowerLetter"/>
      <w:lvlText w:val="%8)"/>
      <w:lvlJc w:val="left"/>
      <w:pPr>
        <w:ind w:left="3864" w:hanging="420"/>
      </w:pPr>
    </w:lvl>
    <w:lvl w:ilvl="8">
      <w:start w:val="1"/>
      <w:numFmt w:val="lowerRoman"/>
      <w:lvlText w:val="%9."/>
      <w:lvlJc w:val="right"/>
      <w:pPr>
        <w:ind w:left="4284" w:hanging="420"/>
      </w:pPr>
    </w:lvl>
  </w:abstractNum>
  <w:abstractNum w:abstractNumId="2" w15:restartNumberingAfterBreak="0">
    <w:nsid w:val="20494293"/>
    <w:multiLevelType w:val="multilevel"/>
    <w:tmpl w:val="20494293"/>
    <w:lvl w:ilvl="0">
      <w:start w:val="5"/>
      <w:numFmt w:val="japaneseCounting"/>
      <w:lvlText w:val="%1、"/>
      <w:lvlJc w:val="left"/>
      <w:pPr>
        <w:ind w:left="1225" w:hanging="720"/>
      </w:pPr>
      <w:rPr>
        <w:rFonts w:hint="default"/>
      </w:rPr>
    </w:lvl>
    <w:lvl w:ilvl="1">
      <w:start w:val="1"/>
      <w:numFmt w:val="lowerLetter"/>
      <w:lvlText w:val="%2)"/>
      <w:lvlJc w:val="left"/>
      <w:pPr>
        <w:ind w:left="1345" w:hanging="420"/>
      </w:pPr>
    </w:lvl>
    <w:lvl w:ilvl="2">
      <w:start w:val="1"/>
      <w:numFmt w:val="lowerRoman"/>
      <w:lvlText w:val="%3."/>
      <w:lvlJc w:val="right"/>
      <w:pPr>
        <w:ind w:left="1765" w:hanging="420"/>
      </w:pPr>
    </w:lvl>
    <w:lvl w:ilvl="3">
      <w:start w:val="1"/>
      <w:numFmt w:val="decimal"/>
      <w:lvlText w:val="%4."/>
      <w:lvlJc w:val="left"/>
      <w:pPr>
        <w:ind w:left="2185" w:hanging="420"/>
      </w:pPr>
    </w:lvl>
    <w:lvl w:ilvl="4">
      <w:start w:val="1"/>
      <w:numFmt w:val="lowerLetter"/>
      <w:lvlText w:val="%5)"/>
      <w:lvlJc w:val="left"/>
      <w:pPr>
        <w:ind w:left="2605" w:hanging="420"/>
      </w:pPr>
    </w:lvl>
    <w:lvl w:ilvl="5">
      <w:start w:val="1"/>
      <w:numFmt w:val="lowerRoman"/>
      <w:lvlText w:val="%6."/>
      <w:lvlJc w:val="right"/>
      <w:pPr>
        <w:ind w:left="3025" w:hanging="420"/>
      </w:pPr>
    </w:lvl>
    <w:lvl w:ilvl="6">
      <w:start w:val="1"/>
      <w:numFmt w:val="decimal"/>
      <w:lvlText w:val="%7."/>
      <w:lvlJc w:val="left"/>
      <w:pPr>
        <w:ind w:left="3445" w:hanging="420"/>
      </w:pPr>
    </w:lvl>
    <w:lvl w:ilvl="7">
      <w:start w:val="1"/>
      <w:numFmt w:val="lowerLetter"/>
      <w:lvlText w:val="%8)"/>
      <w:lvlJc w:val="left"/>
      <w:pPr>
        <w:ind w:left="3865" w:hanging="420"/>
      </w:pPr>
    </w:lvl>
    <w:lvl w:ilvl="8">
      <w:start w:val="1"/>
      <w:numFmt w:val="lowerRoman"/>
      <w:lvlText w:val="%9."/>
      <w:lvlJc w:val="right"/>
      <w:pPr>
        <w:ind w:left="4285" w:hanging="420"/>
      </w:pPr>
    </w:lvl>
  </w:abstractNum>
  <w:abstractNum w:abstractNumId="3" w15:restartNumberingAfterBreak="0">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4664EEB"/>
    <w:multiLevelType w:val="multilevel"/>
    <w:tmpl w:val="74664EEB"/>
    <w:lvl w:ilvl="0">
      <w:start w:val="1"/>
      <w:numFmt w:val="japaneseCounting"/>
      <w:pStyle w:val="a7"/>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F40A7A"/>
    <w:rsid w:val="00007A3B"/>
    <w:rsid w:val="0001362E"/>
    <w:rsid w:val="000301E7"/>
    <w:rsid w:val="000357FD"/>
    <w:rsid w:val="00042DA8"/>
    <w:rsid w:val="00045229"/>
    <w:rsid w:val="000512D3"/>
    <w:rsid w:val="00056E03"/>
    <w:rsid w:val="00060EB2"/>
    <w:rsid w:val="000647D8"/>
    <w:rsid w:val="00085266"/>
    <w:rsid w:val="000909BA"/>
    <w:rsid w:val="00094F6B"/>
    <w:rsid w:val="000A38AA"/>
    <w:rsid w:val="000A39DF"/>
    <w:rsid w:val="000B69C7"/>
    <w:rsid w:val="000B6C8F"/>
    <w:rsid w:val="000C482C"/>
    <w:rsid w:val="000C5EA5"/>
    <w:rsid w:val="000C73B6"/>
    <w:rsid w:val="000D4AA2"/>
    <w:rsid w:val="000D4D34"/>
    <w:rsid w:val="000E0033"/>
    <w:rsid w:val="000E1F56"/>
    <w:rsid w:val="000F666F"/>
    <w:rsid w:val="001008A6"/>
    <w:rsid w:val="001117EC"/>
    <w:rsid w:val="0011425E"/>
    <w:rsid w:val="00137598"/>
    <w:rsid w:val="001379D8"/>
    <w:rsid w:val="001404BA"/>
    <w:rsid w:val="001441AB"/>
    <w:rsid w:val="00153708"/>
    <w:rsid w:val="001538F1"/>
    <w:rsid w:val="00160605"/>
    <w:rsid w:val="001643A4"/>
    <w:rsid w:val="0018765E"/>
    <w:rsid w:val="00192652"/>
    <w:rsid w:val="001B3206"/>
    <w:rsid w:val="001C0310"/>
    <w:rsid w:val="001C450D"/>
    <w:rsid w:val="001C7DA7"/>
    <w:rsid w:val="001D20FE"/>
    <w:rsid w:val="001E0C5E"/>
    <w:rsid w:val="001E22DF"/>
    <w:rsid w:val="001F2328"/>
    <w:rsid w:val="00201A81"/>
    <w:rsid w:val="0020586B"/>
    <w:rsid w:val="00210294"/>
    <w:rsid w:val="002111F4"/>
    <w:rsid w:val="00214B36"/>
    <w:rsid w:val="00216C5F"/>
    <w:rsid w:val="002172C1"/>
    <w:rsid w:val="002219A2"/>
    <w:rsid w:val="00224154"/>
    <w:rsid w:val="002276C5"/>
    <w:rsid w:val="00231022"/>
    <w:rsid w:val="002461EE"/>
    <w:rsid w:val="002556C0"/>
    <w:rsid w:val="00266580"/>
    <w:rsid w:val="002714FB"/>
    <w:rsid w:val="00285DB4"/>
    <w:rsid w:val="0029495C"/>
    <w:rsid w:val="002978BA"/>
    <w:rsid w:val="002A1A2A"/>
    <w:rsid w:val="002A4693"/>
    <w:rsid w:val="002B5A2F"/>
    <w:rsid w:val="002E078A"/>
    <w:rsid w:val="002E08EB"/>
    <w:rsid w:val="002E26A4"/>
    <w:rsid w:val="002E4500"/>
    <w:rsid w:val="002E73C7"/>
    <w:rsid w:val="002F331F"/>
    <w:rsid w:val="002F4911"/>
    <w:rsid w:val="0030021B"/>
    <w:rsid w:val="00300939"/>
    <w:rsid w:val="003114F8"/>
    <w:rsid w:val="003213AB"/>
    <w:rsid w:val="00330246"/>
    <w:rsid w:val="00335065"/>
    <w:rsid w:val="003356FD"/>
    <w:rsid w:val="00341840"/>
    <w:rsid w:val="00344DCA"/>
    <w:rsid w:val="00361BA1"/>
    <w:rsid w:val="00362592"/>
    <w:rsid w:val="00364D16"/>
    <w:rsid w:val="0036618D"/>
    <w:rsid w:val="00371892"/>
    <w:rsid w:val="0039281A"/>
    <w:rsid w:val="00395C01"/>
    <w:rsid w:val="003A4307"/>
    <w:rsid w:val="003A7559"/>
    <w:rsid w:val="003A7E9E"/>
    <w:rsid w:val="003B1821"/>
    <w:rsid w:val="003C1FC4"/>
    <w:rsid w:val="003C75FC"/>
    <w:rsid w:val="003D4CDC"/>
    <w:rsid w:val="003E1857"/>
    <w:rsid w:val="003E3A46"/>
    <w:rsid w:val="003F3405"/>
    <w:rsid w:val="00401A7C"/>
    <w:rsid w:val="00402FE1"/>
    <w:rsid w:val="00414DF4"/>
    <w:rsid w:val="00433889"/>
    <w:rsid w:val="00466A67"/>
    <w:rsid w:val="004711AC"/>
    <w:rsid w:val="0047343A"/>
    <w:rsid w:val="0047535D"/>
    <w:rsid w:val="00477774"/>
    <w:rsid w:val="00482E23"/>
    <w:rsid w:val="0048798C"/>
    <w:rsid w:val="0049553A"/>
    <w:rsid w:val="004A13E8"/>
    <w:rsid w:val="004B216E"/>
    <w:rsid w:val="004B317A"/>
    <w:rsid w:val="004B3F62"/>
    <w:rsid w:val="004B56E1"/>
    <w:rsid w:val="004C7DEA"/>
    <w:rsid w:val="004D1112"/>
    <w:rsid w:val="004D5DCC"/>
    <w:rsid w:val="004E44D8"/>
    <w:rsid w:val="004E55AB"/>
    <w:rsid w:val="004E5D6B"/>
    <w:rsid w:val="00505174"/>
    <w:rsid w:val="005261CB"/>
    <w:rsid w:val="00527551"/>
    <w:rsid w:val="0052788B"/>
    <w:rsid w:val="00530A33"/>
    <w:rsid w:val="005338ED"/>
    <w:rsid w:val="005353A9"/>
    <w:rsid w:val="00537D26"/>
    <w:rsid w:val="005424FE"/>
    <w:rsid w:val="0054308F"/>
    <w:rsid w:val="00547792"/>
    <w:rsid w:val="0055275D"/>
    <w:rsid w:val="00570517"/>
    <w:rsid w:val="00592480"/>
    <w:rsid w:val="005968B3"/>
    <w:rsid w:val="005973A7"/>
    <w:rsid w:val="00597CAF"/>
    <w:rsid w:val="005B135F"/>
    <w:rsid w:val="005B1C23"/>
    <w:rsid w:val="005B5599"/>
    <w:rsid w:val="005B6BA9"/>
    <w:rsid w:val="005C47DF"/>
    <w:rsid w:val="005D150E"/>
    <w:rsid w:val="005D444C"/>
    <w:rsid w:val="005D714D"/>
    <w:rsid w:val="005D7BE4"/>
    <w:rsid w:val="005E1CDE"/>
    <w:rsid w:val="005E4DE7"/>
    <w:rsid w:val="006069FF"/>
    <w:rsid w:val="00611246"/>
    <w:rsid w:val="00613ED1"/>
    <w:rsid w:val="006212CB"/>
    <w:rsid w:val="00626D7F"/>
    <w:rsid w:val="00634B08"/>
    <w:rsid w:val="00641417"/>
    <w:rsid w:val="00657545"/>
    <w:rsid w:val="00661B2F"/>
    <w:rsid w:val="00661FEE"/>
    <w:rsid w:val="0066301B"/>
    <w:rsid w:val="00665425"/>
    <w:rsid w:val="006722D3"/>
    <w:rsid w:val="006816C4"/>
    <w:rsid w:val="006957E0"/>
    <w:rsid w:val="006A5906"/>
    <w:rsid w:val="006A5B11"/>
    <w:rsid w:val="006A5D0E"/>
    <w:rsid w:val="006B7A71"/>
    <w:rsid w:val="006D70EC"/>
    <w:rsid w:val="006D73AF"/>
    <w:rsid w:val="006E2BD2"/>
    <w:rsid w:val="006E7197"/>
    <w:rsid w:val="006F1440"/>
    <w:rsid w:val="006F5BA6"/>
    <w:rsid w:val="0070740B"/>
    <w:rsid w:val="00707437"/>
    <w:rsid w:val="00707815"/>
    <w:rsid w:val="00721EE2"/>
    <w:rsid w:val="00727E29"/>
    <w:rsid w:val="00730E6C"/>
    <w:rsid w:val="00733A36"/>
    <w:rsid w:val="00734529"/>
    <w:rsid w:val="007452B3"/>
    <w:rsid w:val="007609B8"/>
    <w:rsid w:val="007702EA"/>
    <w:rsid w:val="007A2869"/>
    <w:rsid w:val="007A5579"/>
    <w:rsid w:val="007A5904"/>
    <w:rsid w:val="007B5CA8"/>
    <w:rsid w:val="007E2316"/>
    <w:rsid w:val="007F37EE"/>
    <w:rsid w:val="007F67A8"/>
    <w:rsid w:val="007F78F7"/>
    <w:rsid w:val="00800EA9"/>
    <w:rsid w:val="00803B2B"/>
    <w:rsid w:val="00806142"/>
    <w:rsid w:val="008072A2"/>
    <w:rsid w:val="00812919"/>
    <w:rsid w:val="00826793"/>
    <w:rsid w:val="00833836"/>
    <w:rsid w:val="0084042F"/>
    <w:rsid w:val="0085556B"/>
    <w:rsid w:val="00892A87"/>
    <w:rsid w:val="00893ACB"/>
    <w:rsid w:val="00897C11"/>
    <w:rsid w:val="008A532F"/>
    <w:rsid w:val="008C04B5"/>
    <w:rsid w:val="008D28FA"/>
    <w:rsid w:val="008D7526"/>
    <w:rsid w:val="008E0B5B"/>
    <w:rsid w:val="00904836"/>
    <w:rsid w:val="00906298"/>
    <w:rsid w:val="00906AA1"/>
    <w:rsid w:val="009129EC"/>
    <w:rsid w:val="00915E8E"/>
    <w:rsid w:val="0092390B"/>
    <w:rsid w:val="0092409D"/>
    <w:rsid w:val="00927C4E"/>
    <w:rsid w:val="009332A7"/>
    <w:rsid w:val="00940E4F"/>
    <w:rsid w:val="00943C3E"/>
    <w:rsid w:val="00947E26"/>
    <w:rsid w:val="0095139E"/>
    <w:rsid w:val="00954336"/>
    <w:rsid w:val="009630F8"/>
    <w:rsid w:val="00964CC9"/>
    <w:rsid w:val="009700A1"/>
    <w:rsid w:val="0097489A"/>
    <w:rsid w:val="0098137C"/>
    <w:rsid w:val="00982776"/>
    <w:rsid w:val="00982B8F"/>
    <w:rsid w:val="00986AD3"/>
    <w:rsid w:val="00987678"/>
    <w:rsid w:val="00990039"/>
    <w:rsid w:val="009916B1"/>
    <w:rsid w:val="009B0913"/>
    <w:rsid w:val="009B5417"/>
    <w:rsid w:val="009B75B2"/>
    <w:rsid w:val="009B77F5"/>
    <w:rsid w:val="009C049D"/>
    <w:rsid w:val="009C11C1"/>
    <w:rsid w:val="009D6D29"/>
    <w:rsid w:val="009E1582"/>
    <w:rsid w:val="009F69DB"/>
    <w:rsid w:val="00A23FE8"/>
    <w:rsid w:val="00A259E3"/>
    <w:rsid w:val="00A32C7C"/>
    <w:rsid w:val="00A3458B"/>
    <w:rsid w:val="00A36849"/>
    <w:rsid w:val="00A37326"/>
    <w:rsid w:val="00A417F6"/>
    <w:rsid w:val="00A42957"/>
    <w:rsid w:val="00A470EC"/>
    <w:rsid w:val="00A53B59"/>
    <w:rsid w:val="00A859D0"/>
    <w:rsid w:val="00A900D7"/>
    <w:rsid w:val="00A90F2C"/>
    <w:rsid w:val="00A92BE3"/>
    <w:rsid w:val="00A96D05"/>
    <w:rsid w:val="00AB1B65"/>
    <w:rsid w:val="00AB2810"/>
    <w:rsid w:val="00AB4B0C"/>
    <w:rsid w:val="00AC2B04"/>
    <w:rsid w:val="00AD6D77"/>
    <w:rsid w:val="00AE25AA"/>
    <w:rsid w:val="00AF6E67"/>
    <w:rsid w:val="00B000B8"/>
    <w:rsid w:val="00B1503E"/>
    <w:rsid w:val="00B2687B"/>
    <w:rsid w:val="00B304E9"/>
    <w:rsid w:val="00B31C41"/>
    <w:rsid w:val="00B32326"/>
    <w:rsid w:val="00B422CE"/>
    <w:rsid w:val="00B61237"/>
    <w:rsid w:val="00B6564B"/>
    <w:rsid w:val="00B719E5"/>
    <w:rsid w:val="00B93639"/>
    <w:rsid w:val="00BA054B"/>
    <w:rsid w:val="00BA5404"/>
    <w:rsid w:val="00BB01EB"/>
    <w:rsid w:val="00BB5DDA"/>
    <w:rsid w:val="00BB76F5"/>
    <w:rsid w:val="00BC6524"/>
    <w:rsid w:val="00BD4DFD"/>
    <w:rsid w:val="00BD6F78"/>
    <w:rsid w:val="00BF1961"/>
    <w:rsid w:val="00BF1DF2"/>
    <w:rsid w:val="00C15ABB"/>
    <w:rsid w:val="00C451C2"/>
    <w:rsid w:val="00C46F59"/>
    <w:rsid w:val="00C53598"/>
    <w:rsid w:val="00C55561"/>
    <w:rsid w:val="00C61BCC"/>
    <w:rsid w:val="00C710D6"/>
    <w:rsid w:val="00C747B0"/>
    <w:rsid w:val="00C7773D"/>
    <w:rsid w:val="00C827F8"/>
    <w:rsid w:val="00C9265B"/>
    <w:rsid w:val="00C955FD"/>
    <w:rsid w:val="00C96EC0"/>
    <w:rsid w:val="00CA2AA3"/>
    <w:rsid w:val="00CA41A5"/>
    <w:rsid w:val="00CA5B30"/>
    <w:rsid w:val="00CB7EB8"/>
    <w:rsid w:val="00CC2DD8"/>
    <w:rsid w:val="00CC4D3B"/>
    <w:rsid w:val="00CD3D7E"/>
    <w:rsid w:val="00CD4D3D"/>
    <w:rsid w:val="00CD6DF7"/>
    <w:rsid w:val="00CF0438"/>
    <w:rsid w:val="00D0257C"/>
    <w:rsid w:val="00D063E1"/>
    <w:rsid w:val="00D0661A"/>
    <w:rsid w:val="00D16560"/>
    <w:rsid w:val="00D317D7"/>
    <w:rsid w:val="00D4074E"/>
    <w:rsid w:val="00D40E63"/>
    <w:rsid w:val="00D441ED"/>
    <w:rsid w:val="00D5295D"/>
    <w:rsid w:val="00D64197"/>
    <w:rsid w:val="00D66176"/>
    <w:rsid w:val="00D66403"/>
    <w:rsid w:val="00D70F1A"/>
    <w:rsid w:val="00D73E8B"/>
    <w:rsid w:val="00D770C9"/>
    <w:rsid w:val="00D802E2"/>
    <w:rsid w:val="00D8255C"/>
    <w:rsid w:val="00D8739D"/>
    <w:rsid w:val="00D94E61"/>
    <w:rsid w:val="00DA7B3E"/>
    <w:rsid w:val="00DB220F"/>
    <w:rsid w:val="00DC111F"/>
    <w:rsid w:val="00DC1721"/>
    <w:rsid w:val="00DC4821"/>
    <w:rsid w:val="00DC6E56"/>
    <w:rsid w:val="00DD0F41"/>
    <w:rsid w:val="00DD60F9"/>
    <w:rsid w:val="00DE13CB"/>
    <w:rsid w:val="00DF2F5D"/>
    <w:rsid w:val="00DF671D"/>
    <w:rsid w:val="00E01A17"/>
    <w:rsid w:val="00E04336"/>
    <w:rsid w:val="00E05C37"/>
    <w:rsid w:val="00E07EA3"/>
    <w:rsid w:val="00E10161"/>
    <w:rsid w:val="00E1662A"/>
    <w:rsid w:val="00E20A22"/>
    <w:rsid w:val="00E21951"/>
    <w:rsid w:val="00E34CA8"/>
    <w:rsid w:val="00E41663"/>
    <w:rsid w:val="00E43B41"/>
    <w:rsid w:val="00E54505"/>
    <w:rsid w:val="00E62F29"/>
    <w:rsid w:val="00E643E8"/>
    <w:rsid w:val="00E64DE5"/>
    <w:rsid w:val="00E92A02"/>
    <w:rsid w:val="00E933D9"/>
    <w:rsid w:val="00E93758"/>
    <w:rsid w:val="00E953C2"/>
    <w:rsid w:val="00EA3E66"/>
    <w:rsid w:val="00EB0332"/>
    <w:rsid w:val="00EB0B12"/>
    <w:rsid w:val="00EB1EE2"/>
    <w:rsid w:val="00EC3B6C"/>
    <w:rsid w:val="00EC65F7"/>
    <w:rsid w:val="00ED018B"/>
    <w:rsid w:val="00EE08EB"/>
    <w:rsid w:val="00EE51E0"/>
    <w:rsid w:val="00EE7D8E"/>
    <w:rsid w:val="00EF0605"/>
    <w:rsid w:val="00EF2897"/>
    <w:rsid w:val="00EF372E"/>
    <w:rsid w:val="00F14412"/>
    <w:rsid w:val="00F14D9D"/>
    <w:rsid w:val="00F20BCD"/>
    <w:rsid w:val="00F22D23"/>
    <w:rsid w:val="00F33457"/>
    <w:rsid w:val="00F340BE"/>
    <w:rsid w:val="00F343D6"/>
    <w:rsid w:val="00F4639D"/>
    <w:rsid w:val="00F51113"/>
    <w:rsid w:val="00F51F15"/>
    <w:rsid w:val="00F5631A"/>
    <w:rsid w:val="00F62630"/>
    <w:rsid w:val="00F6264F"/>
    <w:rsid w:val="00F66419"/>
    <w:rsid w:val="00F70BB2"/>
    <w:rsid w:val="00F72AF7"/>
    <w:rsid w:val="00F81084"/>
    <w:rsid w:val="00F829D1"/>
    <w:rsid w:val="00F909A0"/>
    <w:rsid w:val="00F9381B"/>
    <w:rsid w:val="00F94EB5"/>
    <w:rsid w:val="00F96393"/>
    <w:rsid w:val="00F977D5"/>
    <w:rsid w:val="00FB0950"/>
    <w:rsid w:val="00FB142D"/>
    <w:rsid w:val="00FC1B41"/>
    <w:rsid w:val="00FC1BC7"/>
    <w:rsid w:val="00FC37C1"/>
    <w:rsid w:val="00FC53EA"/>
    <w:rsid w:val="00FE0893"/>
    <w:rsid w:val="00FE40D9"/>
    <w:rsid w:val="00FE558E"/>
    <w:rsid w:val="00FE658D"/>
    <w:rsid w:val="00FF58F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0237E4"/>
    <w:rsid w:val="4A8A1CA2"/>
    <w:rsid w:val="4B011028"/>
    <w:rsid w:val="4BF62B9B"/>
    <w:rsid w:val="4C661C38"/>
    <w:rsid w:val="4C695DDB"/>
    <w:rsid w:val="4C9A5EA5"/>
    <w:rsid w:val="4CDF3A61"/>
    <w:rsid w:val="4D1225FB"/>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721153"/>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AD03FC1-5835-4E76-AB32-63EE48ED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jc w:val="both"/>
    </w:pPr>
    <w:rPr>
      <w:kern w:val="2"/>
      <w:sz w:val="21"/>
      <w:szCs w:val="24"/>
    </w:rPr>
  </w:style>
  <w:style w:type="paragraph" w:styleId="3">
    <w:name w:val="heading 3"/>
    <w:basedOn w:val="a8"/>
    <w:next w:val="a8"/>
    <w:semiHidden/>
    <w:unhideWhenUsed/>
    <w:qFormat/>
    <w:pPr>
      <w:spacing w:beforeAutospacing="1" w:afterAutospacing="1"/>
      <w:jc w:val="left"/>
      <w:outlineLvl w:val="2"/>
    </w:pPr>
    <w:rPr>
      <w:rFonts w:ascii="宋体" w:hAnsi="宋体" w:hint="eastAsia"/>
      <w:b/>
      <w:kern w:val="0"/>
      <w:sz w:val="27"/>
      <w:szCs w:val="27"/>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Document Map"/>
    <w:basedOn w:val="a8"/>
    <w:link w:val="ad"/>
    <w:qFormat/>
    <w:rPr>
      <w:rFonts w:ascii="宋体"/>
      <w:sz w:val="18"/>
      <w:szCs w:val="18"/>
    </w:rPr>
  </w:style>
  <w:style w:type="paragraph" w:styleId="ae">
    <w:name w:val="Balloon Text"/>
    <w:basedOn w:val="a8"/>
    <w:link w:val="af"/>
    <w:qFormat/>
    <w:rPr>
      <w:sz w:val="18"/>
      <w:szCs w:val="18"/>
    </w:rPr>
  </w:style>
  <w:style w:type="paragraph" w:styleId="af0">
    <w:name w:val="footer"/>
    <w:basedOn w:val="a8"/>
    <w:link w:val="af1"/>
    <w:qFormat/>
    <w:pPr>
      <w:tabs>
        <w:tab w:val="center" w:pos="4153"/>
        <w:tab w:val="right" w:pos="8306"/>
      </w:tabs>
      <w:snapToGrid w:val="0"/>
      <w:jc w:val="left"/>
    </w:pPr>
    <w:rPr>
      <w:sz w:val="18"/>
      <w:szCs w:val="18"/>
    </w:rPr>
  </w:style>
  <w:style w:type="paragraph" w:styleId="af2">
    <w:name w:val="header"/>
    <w:basedOn w:val="a8"/>
    <w:link w:val="af3"/>
    <w:qFormat/>
    <w:pPr>
      <w:pBdr>
        <w:bottom w:val="single" w:sz="6" w:space="1" w:color="auto"/>
      </w:pBdr>
      <w:tabs>
        <w:tab w:val="center" w:pos="4153"/>
        <w:tab w:val="right" w:pos="8306"/>
      </w:tabs>
      <w:snapToGrid w:val="0"/>
      <w:jc w:val="center"/>
    </w:pPr>
    <w:rPr>
      <w:sz w:val="18"/>
      <w:szCs w:val="18"/>
    </w:rPr>
  </w:style>
  <w:style w:type="paragraph" w:styleId="af4">
    <w:name w:val="Normal (Web)"/>
    <w:basedOn w:val="a8"/>
    <w:uiPriority w:val="99"/>
    <w:unhideWhenUsed/>
    <w:qFormat/>
    <w:pPr>
      <w:widowControl/>
      <w:spacing w:before="100" w:beforeAutospacing="1" w:after="100" w:afterAutospacing="1"/>
      <w:jc w:val="left"/>
    </w:pPr>
    <w:rPr>
      <w:rFonts w:ascii="宋体" w:hAnsi="宋体" w:cs="宋体"/>
      <w:kern w:val="0"/>
      <w:sz w:val="24"/>
    </w:rPr>
  </w:style>
  <w:style w:type="table" w:styleId="af5">
    <w:name w:val="Table Grid"/>
    <w:basedOn w:val="aa"/>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9"/>
    <w:qFormat/>
    <w:rPr>
      <w:b/>
    </w:rPr>
  </w:style>
  <w:style w:type="paragraph" w:styleId="af7">
    <w:name w:val="List Paragraph"/>
    <w:basedOn w:val="a8"/>
    <w:uiPriority w:val="34"/>
    <w:qFormat/>
    <w:pPr>
      <w:ind w:firstLineChars="200" w:firstLine="420"/>
    </w:pPr>
    <w:rPr>
      <w:szCs w:val="22"/>
    </w:rPr>
  </w:style>
  <w:style w:type="paragraph" w:customStyle="1" w:styleId="af8">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8"/>
    <w:qFormat/>
    <w:rPr>
      <w:rFonts w:ascii="宋体"/>
      <w:sz w:val="21"/>
    </w:rPr>
  </w:style>
  <w:style w:type="character" w:customStyle="1" w:styleId="af3">
    <w:name w:val="页眉 字符"/>
    <w:basedOn w:val="a9"/>
    <w:link w:val="af2"/>
    <w:qFormat/>
    <w:rPr>
      <w:rFonts w:ascii="Times New Roman" w:hAnsi="Times New Roman"/>
      <w:kern w:val="2"/>
      <w:sz w:val="18"/>
      <w:szCs w:val="18"/>
    </w:rPr>
  </w:style>
  <w:style w:type="character" w:customStyle="1" w:styleId="af1">
    <w:name w:val="页脚 字符"/>
    <w:basedOn w:val="a9"/>
    <w:link w:val="af0"/>
    <w:qFormat/>
    <w:rPr>
      <w:rFonts w:ascii="Times New Roman" w:hAnsi="Times New Roman"/>
      <w:kern w:val="2"/>
      <w:sz w:val="18"/>
      <w:szCs w:val="18"/>
    </w:rPr>
  </w:style>
  <w:style w:type="character" w:customStyle="1" w:styleId="af">
    <w:name w:val="批注框文本 字符"/>
    <w:basedOn w:val="a9"/>
    <w:link w:val="ae"/>
    <w:qFormat/>
    <w:rPr>
      <w:rFonts w:ascii="Times New Roman" w:hAnsi="Times New Roman"/>
      <w:kern w:val="2"/>
      <w:sz w:val="18"/>
      <w:szCs w:val="18"/>
    </w:rPr>
  </w:style>
  <w:style w:type="character" w:customStyle="1" w:styleId="ad">
    <w:name w:val="文档结构图 字符"/>
    <w:basedOn w:val="a9"/>
    <w:link w:val="ac"/>
    <w:qFormat/>
    <w:rPr>
      <w:rFonts w:ascii="宋体"/>
      <w:kern w:val="2"/>
      <w:sz w:val="18"/>
      <w:szCs w:val="18"/>
    </w:rPr>
  </w:style>
  <w:style w:type="paragraph" w:customStyle="1" w:styleId="a3">
    <w:name w:val="标准文件_二级条标题"/>
    <w:next w:val="af8"/>
    <w:qFormat/>
    <w:pPr>
      <w:widowControl w:val="0"/>
      <w:numPr>
        <w:ilvl w:val="3"/>
        <w:numId w:val="1"/>
      </w:numPr>
      <w:spacing w:beforeLines="50" w:afterLines="50"/>
      <w:jc w:val="both"/>
      <w:outlineLvl w:val="2"/>
    </w:pPr>
    <w:rPr>
      <w:rFonts w:ascii="黑体" w:eastAsia="黑体"/>
      <w:sz w:val="21"/>
    </w:rPr>
  </w:style>
  <w:style w:type="paragraph" w:customStyle="1" w:styleId="a4">
    <w:name w:val="标准文件_三级条标题"/>
    <w:basedOn w:val="a3"/>
    <w:next w:val="af8"/>
    <w:qFormat/>
    <w:pPr>
      <w:widowControl/>
      <w:numPr>
        <w:ilvl w:val="4"/>
      </w:numPr>
      <w:outlineLvl w:val="3"/>
    </w:pPr>
  </w:style>
  <w:style w:type="paragraph" w:customStyle="1" w:styleId="a5">
    <w:name w:val="标准文件_四级条标题"/>
    <w:next w:val="af8"/>
    <w:qFormat/>
    <w:pPr>
      <w:widowControl w:val="0"/>
      <w:numPr>
        <w:ilvl w:val="5"/>
        <w:numId w:val="1"/>
      </w:numPr>
      <w:spacing w:beforeLines="50" w:afterLines="50"/>
      <w:jc w:val="both"/>
      <w:outlineLvl w:val="4"/>
    </w:pPr>
    <w:rPr>
      <w:rFonts w:ascii="黑体" w:eastAsia="黑体"/>
      <w:sz w:val="21"/>
    </w:rPr>
  </w:style>
  <w:style w:type="paragraph" w:customStyle="1" w:styleId="a6">
    <w:name w:val="标准文件_五级条标题"/>
    <w:next w:val="af8"/>
    <w:qFormat/>
    <w:pPr>
      <w:widowControl w:val="0"/>
      <w:numPr>
        <w:ilvl w:val="6"/>
        <w:numId w:val="1"/>
      </w:numPr>
      <w:spacing w:beforeLines="50" w:afterLines="50"/>
      <w:jc w:val="both"/>
      <w:outlineLvl w:val="5"/>
    </w:pPr>
    <w:rPr>
      <w:rFonts w:ascii="黑体" w:eastAsia="黑体"/>
      <w:sz w:val="21"/>
    </w:rPr>
  </w:style>
  <w:style w:type="paragraph" w:customStyle="1" w:styleId="a1">
    <w:name w:val="标准文件_章标题"/>
    <w:next w:val="af8"/>
    <w:qFormat/>
    <w:pPr>
      <w:numPr>
        <w:ilvl w:val="1"/>
        <w:numId w:val="1"/>
      </w:numPr>
      <w:spacing w:beforeLines="100" w:afterLines="100"/>
      <w:jc w:val="both"/>
      <w:outlineLvl w:val="0"/>
    </w:pPr>
    <w:rPr>
      <w:rFonts w:ascii="黑体" w:eastAsia="黑体"/>
      <w:sz w:val="21"/>
    </w:rPr>
  </w:style>
  <w:style w:type="paragraph" w:customStyle="1" w:styleId="a2">
    <w:name w:val="标准文件_一级条标题"/>
    <w:basedOn w:val="a1"/>
    <w:next w:val="af8"/>
    <w:qFormat/>
    <w:pPr>
      <w:numPr>
        <w:ilvl w:val="2"/>
      </w:numPr>
      <w:spacing w:beforeLines="50" w:afterLines="50"/>
      <w:outlineLvl w:val="1"/>
    </w:pPr>
  </w:style>
  <w:style w:type="paragraph" w:customStyle="1" w:styleId="a0">
    <w:name w:val="前言标题"/>
    <w:next w:val="a8"/>
    <w:qFormat/>
    <w:pPr>
      <w:numPr>
        <w:numId w:val="1"/>
      </w:numPr>
      <w:shd w:val="clear" w:color="FFFFFF" w:fill="FFFFFF"/>
      <w:spacing w:before="540" w:after="600"/>
      <w:jc w:val="center"/>
      <w:outlineLvl w:val="0"/>
    </w:pPr>
    <w:rPr>
      <w:rFonts w:ascii="黑体" w:eastAsia="黑体"/>
      <w:sz w:val="32"/>
    </w:rPr>
  </w:style>
  <w:style w:type="paragraph" w:customStyle="1" w:styleId="a">
    <w:name w:val="标准文件_术语条一"/>
    <w:basedOn w:val="a8"/>
    <w:next w:val="af8"/>
    <w:qFormat/>
    <w:pPr>
      <w:widowControl/>
      <w:numPr>
        <w:ilvl w:val="2"/>
        <w:numId w:val="2"/>
      </w:numPr>
    </w:pPr>
    <w:rPr>
      <w:rFonts w:ascii="宋体"/>
      <w:kern w:val="0"/>
      <w:szCs w:val="20"/>
    </w:rPr>
  </w:style>
  <w:style w:type="paragraph" w:customStyle="1" w:styleId="a7">
    <w:name w:val="列项——（一级）"/>
    <w:qFormat/>
    <w:pPr>
      <w:widowControl w:val="0"/>
      <w:numPr>
        <w:numId w:val="3"/>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00958-5B93-4084-B25D-F599CC24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967</Words>
  <Characters>5513</Characters>
  <Application>Microsoft Office Word</Application>
  <DocSecurity>0</DocSecurity>
  <Lines>45</Lines>
  <Paragraphs>12</Paragraphs>
  <ScaleCrop>false</ScaleCrop>
  <Company>微软中国</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2021-11-23T02:52:00Z</dcterms:created>
  <dcterms:modified xsi:type="dcterms:W3CDTF">2021-11-23T03:33:00Z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9E9A9BDCCD0F4BB4B780F1C67A16302C</vt:lpwstr>
  </property>
</Properties>
</file>